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одсистема-безопасности"/>
    <w:p>
      <w:pPr>
        <w:pStyle w:val="Heading1"/>
      </w:pPr>
      <w:r>
        <w:t xml:space="preserve">Подсистема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 </w:t>
      </w:r>
      <w:r>
        <w:t xml:space="preserve">управляет SID, владельцами объектов, наследованием прав, ролями пользователя и проверкой доступа к действиям над объектами.</w:t>
      </w:r>
    </w:p>
    <w:bookmarkStart w:id="9" w:name="назначение-security"/>
    <w:p>
      <w:pPr>
        <w:pStyle w:val="Heading2"/>
      </w:pPr>
      <w:r>
        <w:t xml:space="preserve">Назначение Security</w:t>
      </w:r>
    </w:p>
    <w:p>
      <w:pPr>
        <w:pStyle w:val="FirstParagraph"/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является инфраструктурным модулем прав доступа. Он хранит служебные сведения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системный идентификатор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владельца объекта, связи дерева объектов, 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и наследованные права.</w:t>
      </w:r>
    </w:p>
    <w:p>
      <w:pPr>
        <w:pStyle w:val="BodyText"/>
      </w:pPr>
      <w:r>
        <w:t xml:space="preserve">Модуль вычисляет роли текущего пользователя через типы групп</w:t>
      </w:r>
      <w:r>
        <w:t xml:space="preserve"> </w:t>
      </w:r>
      <w:r>
        <w:rPr>
          <w:rStyle w:val="VerbatimChar"/>
        </w:rPr>
        <w:t xml:space="preserve">.gtc</w:t>
      </w:r>
      <w:r>
        <w:t xml:space="preserve">, проверяет 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 строит кнопки действий с учетом прав и поддерживает перестроение наследованных прав для подчиненных объектов.</w:t>
      </w:r>
    </w:p>
    <w:p>
      <w:pPr>
        <w:pStyle w:val="BodyText"/>
      </w:pPr>
      <w:r>
        <w:t xml:space="preserve">Типы групп подключаются из файлов</w:t>
      </w:r>
      <w:r>
        <w:t xml:space="preserve"> </w:t>
      </w:r>
      <w:r>
        <w:rPr>
          <w:rStyle w:val="VerbatimChar"/>
        </w:rPr>
        <w:t xml:space="preserve">.gtc</w:t>
      </w:r>
      <w:r>
        <w:t xml:space="preserve"> </w:t>
      </w:r>
      <w:r>
        <w:t xml:space="preserve">рядом с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: IP, LOGIN, GROUP, SITESPEC, LDAPGROUP и другие. Эти классы определяют, какие роли есть у текущего пользователя и как они отображаются в интерфейсе редактирования прав.</w:t>
      </w:r>
    </w:p>
    <w:bookmarkEnd w:id="9"/>
    <w:bookmarkStart w:id="14" w:name="служебное-поле-113"/>
    <w:p>
      <w:pPr>
        <w:pStyle w:val="Heading2"/>
      </w:pPr>
      <w:r>
        <w:t xml:space="preserve">Служебное поле 113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используется ИРБИС 128 как служебное поле совместимости, идентификации объектов, прав доступа и некоторых доменных связей. Это не универсальное поле ИРБИС 64, которое должно автоматически появляться в каждой записи.</w:t>
      </w:r>
    </w:p>
    <w:p>
      <w:pPr>
        <w:pStyle w:val="BodyText"/>
      </w:pPr>
      <w:r>
        <w:t xml:space="preserve">Обычные операции чтения и сохранения записи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 другие провайдеры не создают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автоматически. Если поле уже есть в записи, оно сохраняется как часть физической записи и участвует в форматировании, индексировании и экспорте так же, как остальные поля.</w:t>
      </w:r>
    </w:p>
    <w:bookmarkStart w:id="10" w:name="ответственность-модулей"/>
    <w:p>
      <w:pPr>
        <w:pStyle w:val="Heading3"/>
      </w:pPr>
      <w:r>
        <w:t xml:space="preserve">1. Ответственность модулей</w:t>
      </w:r>
    </w:p>
    <w:p>
      <w:pPr>
        <w:pStyle w:val="FirstParagraph"/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является владельцем модели прав и служебных повторов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которые описывают доступ к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Повтор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^ASID</w:t>
            </w:r>
          </w:p>
        </w:tc>
        <w:tc>
          <w:tcPr/>
          <w:p>
            <w:pPr>
              <w:pStyle w:val="Compact"/>
            </w:pPr>
            <w:r>
              <w:t xml:space="preserve">Системный идентификатор записи, владелец и флаг наследования прав.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^ASEC</w:t>
            </w:r>
          </w:p>
        </w:tc>
        <w:tc>
          <w:tcPr/>
          <w:p>
            <w:pPr>
              <w:pStyle w:val="Compact"/>
            </w:pPr>
            <w:r>
              <w:t xml:space="preserve">Право доступа для группы, пользователя, IP, сайта или другой группы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^ALINK</w:t>
            </w:r>
          </w:p>
        </w:tc>
        <w:tc>
          <w:tcPr/>
          <w:p>
            <w:pPr>
              <w:pStyle w:val="Compact"/>
            </w:pPr>
            <w:r>
              <w:t xml:space="preserve">Служебная связь записи с другим объектом по SID.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^AAUTH</w:t>
            </w:r>
          </w:p>
        </w:tc>
        <w:tc>
          <w:tcPr/>
          <w:p>
            <w:pPr>
              <w:pStyle w:val="Compact"/>
            </w:pPr>
            <w:r>
              <w:t xml:space="preserve">Данные авторизации пользователя, если конфигурация авторизации использует поле</w:t>
            </w:r>
            <w:r>
              <w:t xml:space="preserve"> </w:t>
            </w:r>
            <w:r>
              <w:rPr>
                <w:rStyle w:val="VerbatimChar"/>
              </w:rPr>
              <w:t xml:space="preserve">113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^AROLES</w:t>
            </w:r>
          </w:p>
        </w:tc>
        <w:tc>
          <w:tcPr/>
          <w:p>
            <w:pPr>
              <w:pStyle w:val="Compact"/>
            </w:pPr>
            <w:r>
              <w:t xml:space="preserve">Роли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^AMVIDS</w:t>
            </w:r>
          </w:p>
        </w:tc>
        <w:tc>
          <w:tcPr/>
          <w:p>
            <w:pPr>
              <w:pStyle w:val="Compact"/>
            </w:pPr>
            <w:r>
              <w:t xml:space="preserve">Разрешенные места выдачи пользователя для интерфейсов WIrbis/Bookland.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^ASIDTHREAD</w:t>
            </w:r>
          </w:p>
        </w:tc>
        <w:tc>
          <w:tcPr/>
          <w:p>
            <w:pPr>
              <w:pStyle w:val="Compact"/>
            </w:pPr>
            <w:r>
              <w:t xml:space="preserve">Служебная цепочка подчиненных объектов.</w:t>
            </w:r>
          </w:p>
        </w:tc>
      </w:tr>
    </w:tbl>
    <w:p>
      <w:pPr>
        <w:pStyle w:val="BodyText"/>
      </w:pPr>
      <w:r>
        <w:t xml:space="preserve">Доменные модули могут иметь собственные совместимые повторы. Например,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113^AFT</w:t>
      </w:r>
      <w:r>
        <w:t xml:space="preserve"> </w:t>
      </w:r>
      <w:r>
        <w:t xml:space="preserve">для связи библиографической записи с полнотекстовым объектом. Такой повтор создается кодом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а не общим слоем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End w:id="10"/>
    <w:bookmarkStart w:id="11" w:name="явная-материализация"/>
    <w:p>
      <w:pPr>
        <w:pStyle w:val="Heading3"/>
      </w:pPr>
      <w:r>
        <w:t xml:space="preserve">2. Явная материализация</w:t>
      </w:r>
    </w:p>
    <w:p>
      <w:pPr>
        <w:pStyle w:val="FirstParagraph"/>
      </w:pPr>
      <w:r>
        <w:t xml:space="preserve">Создавать или изменять служебные повторы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нужно только явным вызовом API соответствующего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API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Создать физический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Security::EnsurePhysicalSid()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права по умолчанию управляемого объекта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Security::EnsureDefaultRights()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Выполнить совместимую legacy-материализацию прав и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Security::MaterializeRecordSecurity()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или обновить право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Security::MaterializeRight()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Удалить локальное право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Security::DeleteLocalRights()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Сделать унаследованное право локальным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Security::MakeRightsLocal()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Изменить наследование прав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Security::SetRightsParenting()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Изменить владельца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Security::SetOwnerSid()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Создать или удалить</w:t>
            </w:r>
            <w:r>
              <w:t xml:space="preserve"> </w:t>
            </w:r>
            <w:r>
              <w:rPr>
                <w:rStyle w:val="VerbatimChar"/>
              </w:rPr>
              <w:t xml:space="preserve">LINK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Security::MaterializeLink()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Security::DeleteLink()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данные авторизации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Security::MaterializeAuth()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Security::MaterializeAuthField()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роли пользователя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Security::SetRoles()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Security::EnsureRole()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места выдачи пользователя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Security::SetMvids()</w:t>
            </w:r>
          </w:p>
        </w:tc>
      </w:tr>
    </w:tbl>
    <w:p>
      <w:pPr>
        <w:pStyle w:val="BodyText"/>
      </w:pPr>
      <w:r>
        <w:t xml:space="preserve">Код, который только читает или сохраняет запись, не должен вызывать эти методы без явного пользовательского или доменного действия. Низкоуровневый</w:t>
      </w:r>
      <w:r>
        <w:t xml:space="preserve"> </w:t>
      </w:r>
      <w:r>
        <w:rPr>
          <w:rStyle w:val="VerbatimChar"/>
        </w:rPr>
        <w:t xml:space="preserve">Record::SetSid()</w:t>
      </w:r>
      <w:r>
        <w:t xml:space="preserve"> </w:t>
      </w:r>
      <w:r>
        <w:t xml:space="preserve">остается внутренним механизмом физической записи</w:t>
      </w:r>
      <w:r>
        <w:t xml:space="preserve"> </w:t>
      </w:r>
      <w:r>
        <w:rPr>
          <w:rStyle w:val="VerbatimChar"/>
        </w:rPr>
        <w:t xml:space="preserve">113^A=SID</w:t>
      </w:r>
      <w:r>
        <w:t xml:space="preserve">, но прикладные модули должны обращаться к нему через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 Legacy-обертки</w:t>
      </w:r>
      <w:r>
        <w:t xml:space="preserve"> </w:t>
      </w:r>
      <w:r>
        <w:rPr>
          <w:rStyle w:val="VerbatimChar"/>
        </w:rPr>
        <w:t xml:space="preserve">Record::EnsureSid()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Record::SidSave()</w:t>
      </w:r>
      <w:r>
        <w:t xml:space="preserve"> </w:t>
      </w:r>
      <w:r>
        <w:t xml:space="preserve">допускаются только как совместимость: материализация SID в них проходит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</w:t>
      </w:r>
    </w:p>
    <w:p>
      <w:pPr>
        <w:pStyle w:val="BodyText"/>
      </w:pPr>
      <w:r>
        <w:t xml:space="preserve">Форматы, списки записей, деревья, preview-панели и другие операции отображения не должны создавать SID и не должны сохранять запись только ради появления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Если для кеша отображения нужен устойчивый ключ, нужно использовать уже существующий SID или внешний cache-key, не изменяющий запись.</w:t>
      </w:r>
    </w:p>
    <w:p>
      <w:pPr>
        <w:pStyle w:val="BodyText"/>
      </w:pPr>
      <w:r>
        <w:t xml:space="preserve">Инвариант проверяется self-test</w:t>
      </w:r>
      <w:r>
        <w:t xml:space="preserve"> </w:t>
      </w:r>
      <w:r>
        <w:rPr>
          <w:rStyle w:val="VerbatimChar"/>
        </w:rPr>
        <w:t xml:space="preserve">tools/Record113BoundarySelfTest.php</w:t>
      </w:r>
      <w:r>
        <w:t xml:space="preserve">: обычные операции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должны материализовать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включая повторное сохранение после конфликта версии, lookup по SID не должен вызывать низкоуровневый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 а явное создание SID и прав выполняется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Тот же тест покрывает legacy helper старого WS-редактора</w:t>
      </w:r>
      <w:r>
        <w:t xml:space="preserve"> </w:t>
      </w:r>
      <w:r>
        <w:rPr>
          <w:rStyle w:val="VerbatimChar"/>
        </w:rPr>
        <w:t xml:space="preserve">WS/JS/GetRLList</w:t>
      </w:r>
      <w:r>
        <w:t xml:space="preserve">: если helper должен передать SID в URL и Ajax-параметры, он сначала явно вызывает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затем использует уже материализованный SID.</w:t>
      </w:r>
    </w:p>
    <w:bookmarkEnd w:id="11"/>
    <w:bookmarkStart w:id="12" w:name="совместимость-с-ирбис-64-и-irbistool"/>
    <w:p>
      <w:pPr>
        <w:pStyle w:val="Heading3"/>
      </w:pPr>
      <w:r>
        <w:t xml:space="preserve">3. Совместимость с ИРБИС 64 и irbistool</w:t>
      </w:r>
    </w:p>
    <w:p>
      <w:pPr>
        <w:pStyle w:val="FirstParagraph"/>
      </w:pPr>
      <w:r>
        <w:t xml:space="preserve">Если запись уже содержит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ИРБИС 128 должен сохранить его без потерь. Это важно для совместимости с существующими базами, форматами, индексированием и проверками соответствия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.</w:t>
      </w:r>
    </w:p>
    <w:p>
      <w:pPr>
        <w:pStyle w:val="BodyText"/>
      </w:pPr>
      <w:r>
        <w:t xml:space="preserve">Провайдеры данных отвечают за физическое чтение и запись полей. Они не принимают решение о том, что записи нужен SID, право, роль или связь. Такое решение принимает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 </w:t>
      </w:r>
      <w:r>
        <w:t xml:space="preserve">или доменный модуль, который выполняет конкретную пользовательскую операцию.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Операции миграции и слияния записей могут переносить уже существующее физическое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из одной записи в другую. Это не считается автоматической генерацией. Такие операции должны сохранять структуру поля как данные источника и не добавлять новые служебные повторы без явной цели миграции.</w:t>
      </w:r>
    </w:p>
    <w:p>
      <w:pPr>
        <w:pStyle w:val="BodyText"/>
      </w:pPr>
      <w:r>
        <w:t xml:space="preserve">Очистка старых некорректных повторов, например пустых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допускается как миграционная или доменная нормализация данных. Она должна быть локализована в соответствующем модуле и не должна превращаться в общее правило сохранения записи.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безопасности</dc:title>
  <dc:creator/>
  <cp:keywords/>
  <dcterms:created xsi:type="dcterms:W3CDTF">2026-09-15T07:22:37Z</dcterms:created>
  <dcterms:modified xsi:type="dcterms:W3CDTF">2026-09-15T07:22:37Z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