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[I128-1502] Настройка провайдера данных недоступна при неотвечающем конечном адресе провайдера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9516ce09c5584bdc84152f2c1477c37336267"/>
    <w:p>
      <w:pPr>
        <w:pStyle w:val="Heading1"/>
      </w:pPr>
      <w:r>
        <w:t xml:space="preserve">[I128-1502] Настройка провайдера данных недоступна при неотвечающем конечном адресе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Окно настройки провайдера данных для БД не открывалось, если текущий endpoint, указанный в настройках провайдера этой БД, не отвечал. Из-за этого пользователь не мог изменить тип провайдера или адрес подключения.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Действия открытия формы настройки и сохранения параметров получали объект БД через обычный</w:t>
      </w:r>
      <w:r>
        <w:t xml:space="preserve"> </w:t>
      </w:r>
      <w:r>
        <w:rPr>
          <w:rStyle w:val="VerbatimChar"/>
        </w:rPr>
        <w:t xml:space="preserve">i128f::GetDb()</w:t>
      </w:r>
      <w:r>
        <w:t xml:space="preserve">. При наличии индивидуального не-</w:t>
      </w:r>
      <w:r>
        <w:rPr>
          <w:rStyle w:val="VerbatimChar"/>
        </w:rPr>
        <w:t xml:space="preserve">Local</w:t>
      </w:r>
      <w:r>
        <w:t xml:space="preserve"> </w:t>
      </w:r>
      <w:r>
        <w:t xml:space="preserve">provider в ini БД этот путь пытался подключить настроенный provider и завершался ошибкой до чтения или записи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административной настройки провайдера добавлен отдельный способ получения объекта БД через корневой провайдер. Он читает конфигурационные файлы БД и применяет ini-настройки, но не подключает индивидуальный provider редактируемой БД. Открытие формы и сохранение настроек провайдера переведены на этот способ.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I128-1502: Открывать настройки провайдера через корневой провайдер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[I128-1502] Настройка провайдера данных недоступна при неотвечающем конечном адресе провайдера</dc:title>
  <dc:creator/>
  <cp:keywords/>
  <dcterms:created xsi:type="dcterms:W3CDTF">2026-09-13T05:45:22Z</dcterms:created>
  <dcterms:modified xsi:type="dcterms:W3CDTF">2026-09-13T05:45:22Z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