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[I128-2177] Класс ObjectDataIni модуля 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7-класс-objectdataini-модуля-ini"/>
    <w:p>
      <w:pPr>
        <w:pStyle w:val="Heading1"/>
      </w:pPr>
      <w:r>
        <w:t xml:space="preserve">[I128-2177] Класс ObjectDataIni модуля 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01:52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Ini/ObjectDataIni. Раздел подключен из Ini/Root, а Ini/Purpose ссылается на подробный контракт класса.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классе ObjectDataIni. Описано, что Ini::GetNew() возвращает ObjectDataIni, перечислены методы загрузки, разбора, кеширования, чтения значений, объединения INI и выгрузки структуры в текст или JSON. Зафиксирована совместимость с прежним модульным вызовом Ini::ApplyIni($target, $source) и перенос логики из modules/Ini/__call в методы объекта.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класс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?id=Help/Show&amp;m=Ini/ObjectDataIni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7"/>
    <w:p>
      <w:pPr>
        <w:pStyle w:val="Heading3"/>
      </w:pPr>
      <w:r>
        <w:t xml:space="preserve">1.1. 🔗 Соответствует задача: I128-2167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[I128-2177] Класс ObjectDataIni модуля Ini</dc:title>
  <dc:creator/>
  <cp:keywords/>
  <dcterms:created xsi:type="dcterms:W3CDTF">2026-09-13T20:52:57Z</dcterms:created>
  <dcterms:modified xsi:type="dcterms:W3CDTF">2026-09-13T20:52:57Z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