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[I128-1461] Учет посещений в АРМ «Книговыдача»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74afa87f411a6f27420c992b41fc4a80d892d6"/>
    <w:p>
      <w:pPr>
        <w:pStyle w:val="Heading1"/>
      </w:pPr>
      <w:r>
        <w:t xml:space="preserve">[I128-1461] Учет посещений в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Bookland/Interface/Visits</w:t>
      </w:r>
      <w:r>
        <w:t xml:space="preserve"> </w:t>
      </w:r>
      <w:r>
        <w:t xml:space="preserve">- учет посещений в АРМ «Книговыдача».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Bookland/UserGuide</w:t>
      </w:r>
      <w:r>
        <w:t xml:space="preserve"> </w:t>
      </w:r>
      <w:r>
        <w:t xml:space="preserve">- добавлена ссылка на раздел учета посещений.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Bookland/Interface/Rdr</w:t>
      </w:r>
      <w:r>
        <w:t xml:space="preserve"> </w:t>
      </w:r>
      <w:r>
        <w:t xml:space="preserve">- описание кнопки «Посещение» перенесено к новому разделу.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Bookland/Interface/RdrSearch</w:t>
      </w:r>
      <w:r>
        <w:t xml:space="preserve"> </w:t>
      </w:r>
      <w:r>
        <w:t xml:space="preserve">- добавлена ссылка на общий раздел учета посещений.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</w:t>
      </w:r>
      <w:r>
        <w:t xml:space="preserve"> </w:t>
      </w:r>
      <w:r>
        <w:t xml:space="preserve">- уточнен состав интерфейса.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описан выбор источника вида посещения через</w:t>
      </w:r>
      <w:r>
        <w:t xml:space="preserve"> </w:t>
      </w:r>
      <w:r>
        <w:rPr>
          <w:rStyle w:val="VerbatimChar"/>
        </w:rPr>
        <w:t xml:space="preserve">rdrvstype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раздел Help об учете посещений в АРМ «Книговыдача». В разделе описано, как фиксировать посещение текущего читателя, гостевые посещения и групповую фиксацию посещений из окна поиска читателей. Уточнено, что вид посещения выбирается из</w:t>
      </w:r>
      <w:r>
        <w:t xml:space="preserve"> </w:t>
      </w:r>
      <w:r>
        <w:rPr>
          <w:rStyle w:val="VerbatimChar"/>
        </w:rPr>
        <w:t xml:space="preserve">visit.mnu</w:t>
      </w:r>
      <w:r>
        <w:t xml:space="preserve"> </w:t>
      </w:r>
      <w:r>
        <w:t xml:space="preserve">или вводится через рабочий лист подполей</w:t>
      </w:r>
      <w:r>
        <w:t xml:space="preserve"> </w:t>
      </w:r>
      <w:r>
        <w:rPr>
          <w:rStyle w:val="VerbatimChar"/>
        </w:rPr>
        <w:t xml:space="preserve">visit.wss</w:t>
      </w:r>
      <w:r>
        <w:t xml:space="preserve">, а источник задается настройкой профиля</w:t>
      </w:r>
      <w:r>
        <w:t xml:space="preserve"> </w:t>
      </w:r>
      <w:r>
        <w:rPr>
          <w:rStyle w:val="VerbatimChar"/>
        </w:rPr>
        <w:t xml:space="preserve">rdrvstype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96"/>
    <w:p>
      <w:pPr>
        <w:pStyle w:val="Heading3"/>
      </w:pPr>
      <w:r>
        <w:t xml:space="preserve">1.1. 🔗 Соответствует задача: I128-1396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[I128-1396]</w:t>
        </w:r>
      </w:hyperlink>
      <w:r>
        <w:t xml:space="preserve"> </w:t>
      </w:r>
      <w:r>
        <w:t xml:space="preserve">Возможность вводить</w:t>
      </w:r>
      <w:r>
        <w:t xml:space="preserve"> </w:t>
      </w:r>
      <w:r>
        <w:t xml:space="preserve">“Вид посещения”</w:t>
      </w:r>
      <w:r>
        <w:t xml:space="preserve"> </w:t>
      </w:r>
      <w:r>
        <w:t xml:space="preserve">через РЛ подполей для режима посещения</w:t>
      </w:r>
      <w:r>
        <w:t xml:space="preserve"> </w:t>
      </w:r>
      <w:r>
        <w:t xml:space="preserve">“гостевые”</w:t>
      </w:r>
      <w:r>
        <w:t xml:space="preserve"> </w:t>
      </w:r>
      <w:r>
        <w:t xml:space="preserve">и</w:t>
      </w:r>
      <w:r>
        <w:t xml:space="preserve"> </w:t>
      </w:r>
      <w:r>
        <w:t xml:space="preserve">“индивидуальные”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[I128-1461] Учет посещений в АРМ «Книговыдача»</dc:title>
  <dc:creator/>
  <cp:keywords/>
  <dcterms:created xsi:type="dcterms:W3CDTF">2026-09-13T16:28:29Z</dcterms:created>
  <dcterms:modified xsi:type="dcterms:W3CDTF">2026-09-13T16:28:29Z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