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[I128-1047] Импорт записи в другую БД с открытием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fa9e4f1d191d9d9a3b8d8b4abc4c79413c4a4"/>
    <w:p>
      <w:pPr>
        <w:pStyle w:val="Heading1"/>
      </w:pPr>
      <w:r>
        <w:t xml:space="preserve">[I128-1047] Импорт записи в другую БД с открытием редактора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Cataloguer/CataloguerGuide/ImportAndEditRecord</w:t>
      </w:r>
      <w:r>
        <w:t xml:space="preserve"> </w:t>
      </w:r>
      <w:r>
        <w:t xml:space="preserve">— раздел Help о настройке и использовании пункта</w:t>
      </w:r>
      <w:r>
        <w:t xml:space="preserve"> </w:t>
      </w:r>
      <w:r>
        <w:rPr>
          <w:rStyle w:val="VerbatimChar"/>
        </w:rPr>
        <w:t xml:space="preserve">Импортировать запись в БД &lt;...&gt; и редактировать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— в инструкцию Каталогизатора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«Каталогизатор» добавлен раздел о переносе найденной записи в другую доступную БД с немедленным открытием редактора новой записи. Раздел объясняет, где включается меню в профиле, как работают параметры</w:t>
      </w:r>
      <w:r>
        <w:t xml:space="preserve"> </w:t>
      </w:r>
      <w:r>
        <w:rPr>
          <w:rStyle w:val="VerbatimChar"/>
        </w:rPr>
        <w:t xml:space="preserve">importAndEditEnabled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importAndEditExcludeDbs</w:t>
      </w:r>
      <w:r>
        <w:t xml:space="preserve">, какие права и типы записей нужны для показа пункта меню, почему текущая БД и исключенные БД не предлагаются как назначение.</w:t>
      </w:r>
    </w:p>
    <w:p>
      <w:pPr>
        <w:pStyle w:val="BodyText"/>
      </w:pPr>
      <w:r>
        <w:t xml:space="preserve">Документация также описывает обработку записи перед открытием редактора: очистку служебных полей, назначение нового SID и точку расширения</w:t>
      </w:r>
      <w:r>
        <w:t xml:space="preserve"> </w:t>
      </w:r>
      <w:r>
        <w:rPr>
          <w:rStyle w:val="VerbatimChar"/>
        </w:rPr>
        <w:t xml:space="preserve">Cataloguer/ImportAndEditTransform</w:t>
      </w:r>
      <w:r>
        <w:t xml:space="preserve"> </w:t>
      </w:r>
      <w:r>
        <w:t xml:space="preserve">для проектной трансформации переносимых данных. В раздел вставлены изображения настроек профиля и пункта меню импорта записи в БД с редактированием.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46"/>
    <w:p>
      <w:pPr>
        <w:pStyle w:val="Heading3"/>
      </w:pPr>
      <w:r>
        <w:t xml:space="preserve">1.1. 🔗 Соответствует задача: I128-1046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[I128-1046]</w:t>
        </w:r>
      </w:hyperlink>
      <w:r>
        <w:t xml:space="preserve"> </w:t>
      </w:r>
      <w:r>
        <w:t xml:space="preserve">Возможности настройки кнопки</w:t>
      </w:r>
      <w:r>
        <w:t xml:space="preserve"> </w:t>
      </w:r>
      <w:r>
        <w:t xml:space="preserve">“Импортировать запись в БД &lt;…&gt; и редактировать”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[I128-1047] Импорт записи в другую БД с открытием редактора</dc:title>
  <dc:creator/>
  <cp:keywords/>
  <dcterms:created xsi:type="dcterms:W3CDTF">2026-09-14T22:25:09Z</dcterms:created>
  <dcterms:modified xsi:type="dcterms:W3CDTF">2026-09-14T22:25:09Z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