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[I128-2506] Авторизация пользователей: учетные данные и SID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f1dac060a095f98316dcfe5cde4e5fdfc37bf"/>
    <w:p>
      <w:pPr>
        <w:pStyle w:val="Heading1"/>
      </w:pPr>
      <w:r>
        <w:t xml:space="preserve">[I128-2506] Авторизация пользователей: учетные данные и SID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SID читательских/пользовательских записей, учетные данные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и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частично создаются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SetFieldA()</w:t>
      </w:r>
      <w:r>
        <w:t xml:space="preserve"> </w:t>
      </w:r>
      <w:r>
        <w:t xml:space="preserve">и ручную установку подполей.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Регистрация, вход и внешние способы авторизации переводятся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Security::MaterializeAuthField()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Поведение для пользователя не меняется: регистрация, вход, ESIA/LDAP/VK/OUP/WebIrbis/I128-авторизация продолжают работать,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modules/Authorisation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обновление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MaterializeAuthField()</w:t>
      </w:r>
      <w:r>
        <w:t xml:space="preserve">, а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авторизации не меняются, исправляется внутренний способ записи SID, учетных данных и прав.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[I128-2506] Авторизация пользователей: учетные данные и SID создаются через Security</dc:title>
  <dc:creator/>
  <cp:keywords/>
  <dcterms:created xsi:type="dcterms:W3CDTF">2026-09-14T02:39:35Z</dcterms:created>
  <dcterms:modified xsi:type="dcterms:W3CDTF">2026-09-14T02:39:35Z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