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[I128-2238] Расширение типов ограничений доступа: предупреждение о психотропных и наркотических веществах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5fd7ff4b4223e49f26be895dc4fca12ef593a1"/>
    <w:p>
      <w:pPr>
        <w:pStyle w:val="Heading1"/>
      </w:pPr>
      <w:r>
        <w:t xml:space="preserve">[I128-2238] Расширение типов ограничений доступа: предупреждение о психотропных и наркотических веществах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10.03.2026 13:35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716"/>
    <w:p>
      <w:pPr>
        <w:pStyle w:val="Heading3"/>
      </w:pPr>
      <w:r>
        <w:t xml:space="preserve">1.1. 🔗 blocks: SD-716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[SD-716]</w:t>
        </w:r>
      </w:hyperlink>
      <w:r>
        <w:t xml:space="preserve"> </w:t>
      </w:r>
      <w:r>
        <w:t xml:space="preserve">Маркировка записей по ФЗ О наркотических средствах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1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1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[I128-2238] Расширение типов ограничений доступа: предупреждение о психотропных и наркотических веществах</dc:title>
  <dc:creator/>
  <cp:keywords/>
  <dcterms:created xsi:type="dcterms:W3CDTF">2026-09-11T19:09:53Z</dcterms:created>
  <dcterms:modified xsi:type="dcterms:W3CDTF">2026-09-11T19:09:53Z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