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Провайдер данных к ЭКБСОН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провайдер-данных-к-экбсон"/>
    <w:p>
      <w:pPr>
        <w:pStyle w:val="Heading1"/>
      </w:pPr>
      <w:r>
        <w:t xml:space="preserve">Провайдер данных к ЭКБСОН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DP_EKBSON</w:t>
      </w:r>
      <w:r>
        <w:t xml:space="preserve"> </w:t>
      </w:r>
      <w:r>
        <w:t xml:space="preserve">реализует провайдер данных для подключения к сводной базе</w:t>
      </w:r>
      <w:r>
        <w:t xml:space="preserve"> </w:t>
      </w:r>
      <w:r>
        <w:t xml:space="preserve">ИС ЭКБСОН. Он используется подсистемой</w:t>
      </w:r>
      <w:r>
        <w:t xml:space="preserve"> </w:t>
      </w:r>
      <w:r>
        <w:rPr>
          <w:rStyle w:val="VerbatimChar"/>
        </w:rPr>
        <w:t xml:space="preserve">Database</w:t>
      </w:r>
      <w:r>
        <w:t xml:space="preserve"> </w:t>
      </w:r>
      <w:r>
        <w:t xml:space="preserve">как источник записей, когда</w:t>
      </w:r>
      <w:r>
        <w:t xml:space="preserve"> </w:t>
      </w:r>
      <w:r>
        <w:t xml:space="preserve">в настройках базы выбран тип провайдера</w:t>
      </w:r>
      <w:r>
        <w:t xml:space="preserve"> </w:t>
      </w:r>
      <w:r>
        <w:rPr>
          <w:rStyle w:val="VerbatimChar"/>
        </w:rPr>
        <w:t xml:space="preserve">EKBSON</w:t>
      </w:r>
      <w:r>
        <w:t xml:space="preserve">.</w:t>
      </w:r>
    </w:p>
    <w:bookmarkStart w:id="12" w:name="назначение"/>
    <w:p>
      <w:pPr>
        <w:pStyle w:val="Heading2"/>
      </w:pPr>
      <w:r>
        <w:t xml:space="preserve">Назначение</w:t>
      </w:r>
    </w:p>
    <w:p>
      <w:pPr>
        <w:pStyle w:val="FirstParagraph"/>
      </w:pPr>
      <w:r>
        <w:rPr>
          <w:rStyle w:val="VerbatimChar"/>
        </w:rPr>
        <w:t xml:space="preserve">DP_EKBSON</w:t>
      </w:r>
      <w:r>
        <w:t xml:space="preserve"> </w:t>
      </w:r>
      <w:r>
        <w:t xml:space="preserve">- объектный модуль-провайдер данных. Он приводит операции</w:t>
      </w:r>
      <w:r>
        <w:t xml:space="preserve"> </w:t>
      </w:r>
      <w:r>
        <w:t xml:space="preserve">унифицированного слоя</w:t>
      </w:r>
      <w:r>
        <w:t xml:space="preserve"> </w:t>
      </w:r>
      <w:r>
        <w:rPr>
          <w:rStyle w:val="VerbatimChar"/>
        </w:rPr>
        <w:t xml:space="preserve">Database</w:t>
      </w:r>
      <w:r>
        <w:t xml:space="preserve"> </w:t>
      </w:r>
      <w:r>
        <w:t xml:space="preserve">к HTTP-запросам удаленного сервиса ЭКБСОН и</w:t>
      </w:r>
      <w:r>
        <w:t xml:space="preserve"> </w:t>
      </w:r>
      <w:r>
        <w:t xml:space="preserve">возвращает результаты поиска, чтения, форматирования и работы с файлами в</w:t>
      </w:r>
      <w:r>
        <w:t xml:space="preserve"> </w:t>
      </w:r>
      <w:r>
        <w:t xml:space="preserve">формате, ожидаемом остальной системой.</w:t>
      </w:r>
    </w:p>
    <w:bookmarkStart w:id="9" w:name="основные-сценарии"/>
    <w:p>
      <w:pPr>
        <w:pStyle w:val="Heading3"/>
      </w:pPr>
      <w:r>
        <w:t xml:space="preserve">1. Основные сценарии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Сценарий</w:t>
            </w:r>
          </w:p>
        </w:tc>
        <w:tc>
          <w:tcPr/>
          <w:p>
            <w:pPr>
              <w:pStyle w:val="Compact"/>
            </w:pPr>
            <w:r>
              <w:t xml:space="preserve">Компоненты</w:t>
            </w:r>
          </w:p>
        </w:tc>
      </w:tr>
      <w:tr>
        <w:tc>
          <w:tcPr/>
          <w:p>
            <w:pPr>
              <w:pStyle w:val="Compact"/>
            </w:pPr>
            <w:r>
              <w:t xml:space="preserve">Инициализация провайдера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InitProvider</w:t>
            </w:r>
            <w:r>
              <w:t xml:space="preserve">, параметры секции</w:t>
            </w:r>
            <w:r>
              <w:t xml:space="preserve"> </w:t>
            </w:r>
            <w:r>
              <w:rPr>
                <w:rStyle w:val="VerbatimChar"/>
              </w:rPr>
              <w:t xml:space="preserve">PROVIDER</w:t>
            </w:r>
            <w:r>
              <w:t xml:space="preserve"> </w:t>
            </w:r>
            <w:r>
              <w:t xml:space="preserve">из INI базы.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Подключение и отключение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Connect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Disconnect</w:t>
            </w:r>
            <w:r>
              <w:t xml:space="preserve">, состояние</w:t>
            </w:r>
            <w:r>
              <w:t xml:space="preserve"> </w:t>
            </w:r>
            <w:r>
              <w:rPr>
                <w:rStyle w:val="VerbatimChar"/>
              </w:rPr>
              <w:t xml:space="preserve">IsConnected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Выполнение удаленного запроса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ExecRqst</w:t>
            </w:r>
            <w:r>
              <w:t xml:space="preserve">, HTTP POST на</w:t>
            </w:r>
            <w:r>
              <w:t xml:space="preserve"> </w:t>
            </w:r>
            <w:r>
              <w:rPr>
                <w:rStyle w:val="VerbatimChar"/>
              </w:rPr>
              <w:t xml:space="preserve">PAPI/&lt;act&gt;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Поиск записей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Search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RecSearch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t xml:space="preserve">Чтение записи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RecRead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RecReadAndFormat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t xml:space="preserve">Форматирование виртуальной записи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RecVirtualFormat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Словарь терминов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GetTermList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Запись и файлы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RecWrite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GetFile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SetFile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WriteToIni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Делегирование владельцу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CallOwnerFunction</w:t>
            </w:r>
            <w:r>
              <w:t xml:space="preserve"> </w:t>
            </w:r>
            <w:r>
              <w:t xml:space="preserve">для операций, которые выполняет родительский объект базы.</w:t>
            </w:r>
          </w:p>
        </w:tc>
      </w:tr>
    </w:tbl>
    <w:bookmarkEnd w:id="9"/>
    <w:bookmarkStart w:id="10" w:name="параметры-провайдера"/>
    <w:p>
      <w:pPr>
        <w:pStyle w:val="Heading3"/>
      </w:pPr>
      <w:r>
        <w:t xml:space="preserve">2. Параметры провайдера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PROVIDER.HOST</w:t>
            </w:r>
          </w:p>
        </w:tc>
        <w:tc>
          <w:tcPr/>
          <w:p>
            <w:pPr>
              <w:pStyle w:val="Compact"/>
            </w:pPr>
            <w:r>
              <w:t xml:space="preserve">Адрес сервиса ЭКБСОН, по умолчанию</w:t>
            </w:r>
            <w:r>
              <w:t xml:space="preserve"> </w:t>
            </w:r>
            <w:r>
              <w:rPr>
                <w:rStyle w:val="VerbatimChar"/>
              </w:rPr>
              <w:t xml:space="preserve">www.vlibrary.ru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PROVIDER.PROXY</w:t>
            </w:r>
          </w:p>
        </w:tc>
        <w:tc>
          <w:tcPr/>
          <w:p>
            <w:pPr>
              <w:pStyle w:val="Compact"/>
            </w:pPr>
            <w:r>
              <w:t xml:space="preserve">Адрес прокси-сервера, если нужен для HTTP-доступа.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PROVIDER.PROXYUSER</w:t>
            </w:r>
          </w:p>
        </w:tc>
        <w:tc>
          <w:tcPr/>
          <w:p>
            <w:pPr>
              <w:pStyle w:val="Compact"/>
            </w:pPr>
            <w:r>
              <w:t xml:space="preserve">Пользователь прокси.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PROVIDER.PROXYPASSWORD</w:t>
            </w:r>
          </w:p>
        </w:tc>
        <w:tc>
          <w:tcPr/>
          <w:p>
            <w:pPr>
              <w:pStyle w:val="Compact"/>
            </w:pPr>
            <w:r>
              <w:t xml:space="preserve">Пароль прокси.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PROVIDER.SRCPREFIX</w:t>
            </w:r>
          </w:p>
        </w:tc>
        <w:tc>
          <w:tcPr/>
          <w:p>
            <w:pPr>
              <w:pStyle w:val="Compact"/>
            </w:pPr>
            <w:r>
              <w:t xml:space="preserve">Префикс, добавляемый к поисковому выражению.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PROVIDER.SRCPOSTFIX</w:t>
            </w:r>
          </w:p>
        </w:tc>
        <w:tc>
          <w:tcPr/>
          <w:p>
            <w:pPr>
              <w:pStyle w:val="Compact"/>
            </w:pPr>
            <w:r>
              <w:t xml:space="preserve">Постфикс, добавляемый к поисковому выражению.</w:t>
            </w:r>
          </w:p>
        </w:tc>
      </w:tr>
    </w:tbl>
    <w:bookmarkEnd w:id="10"/>
    <w:bookmarkStart w:id="11" w:name="особенности-сопровождения"/>
    <w:p>
      <w:pPr>
        <w:pStyle w:val="Heading3"/>
      </w:pPr>
      <w:r>
        <w:t xml:space="preserve">3. Особенности сопровождения</w:t>
      </w:r>
    </w:p>
    <w:p>
      <w:pPr>
        <w:pStyle w:val="FirstParagraph"/>
      </w:pPr>
      <w:r>
        <w:t xml:space="preserve">Модуль является адаптером к внешнему сервису. Методы</w:t>
      </w:r>
      <w:r>
        <w:t xml:space="preserve"> </w:t>
      </w:r>
      <w:r>
        <w:rPr>
          <w:rStyle w:val="VerbatimChar"/>
        </w:rPr>
        <w:t xml:space="preserve">Search</w:t>
      </w:r>
      <w:r>
        <w:t xml:space="preserve">,</w:t>
      </w:r>
      <w:r>
        <w:t xml:space="preserve"> </w:t>
      </w:r>
      <w:r>
        <w:rPr>
          <w:rStyle w:val="VerbatimChar"/>
        </w:rPr>
        <w:t xml:space="preserve">RecReadAndFormat</w:t>
      </w:r>
      <w:r>
        <w:t xml:space="preserve">,</w:t>
      </w:r>
      <w:r>
        <w:t xml:space="preserve"> </w:t>
      </w:r>
      <w:r>
        <w:rPr>
          <w:rStyle w:val="VerbatimChar"/>
        </w:rPr>
        <w:t xml:space="preserve">RecSearch</w:t>
      </w:r>
      <w:r>
        <w:t xml:space="preserve">,</w:t>
      </w:r>
      <w:r>
        <w:t xml:space="preserve"> </w:t>
      </w:r>
      <w:r>
        <w:rPr>
          <w:rStyle w:val="VerbatimChar"/>
        </w:rPr>
        <w:t xml:space="preserve">RecVirtualFormat</w:t>
      </w:r>
      <w:r>
        <w:t xml:space="preserve">,</w:t>
      </w:r>
      <w:r>
        <w:t xml:space="preserve"> </w:t>
      </w:r>
      <w:r>
        <w:rPr>
          <w:rStyle w:val="VerbatimChar"/>
        </w:rPr>
        <w:t xml:space="preserve">RecWrite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GetTermList</w:t>
      </w:r>
      <w:r>
        <w:t xml:space="preserve"> </w:t>
      </w:r>
      <w:r>
        <w:t xml:space="preserve">зависят от ответа удаленной стороны и не должны запускаться при</w:t>
      </w:r>
      <w:r>
        <w:t xml:space="preserve"> </w:t>
      </w:r>
      <w:r>
        <w:t xml:space="preserve">проверке Help. Для документационного gate достаточно проверять синтаксис PHP,</w:t>
      </w:r>
      <w:r>
        <w:t xml:space="preserve"> </w:t>
      </w:r>
      <w:r>
        <w:t xml:space="preserve">HTML/DOCX-выгрузку</w:t>
      </w:r>
      <w:r>
        <w:t xml:space="preserve"> </w:t>
      </w:r>
      <w:r>
        <w:rPr>
          <w:rStyle w:val="VerbatimChar"/>
        </w:rPr>
        <w:t xml:space="preserve">Help/ModuleRoot&amp;module=DP_EKBSON</w:t>
      </w:r>
      <w:r>
        <w:t xml:space="preserve"> </w:t>
      </w:r>
      <w:r>
        <w:t xml:space="preserve">и отсутствие пропусков</w:t>
      </w:r>
      <w:r>
        <w:t xml:space="preserve"> </w:t>
      </w:r>
      <w:r>
        <w:t xml:space="preserve">Autodoc.</w:t>
      </w:r>
    </w:p>
    <w:bookmarkEnd w:id="11"/>
    <w:bookmarkEnd w:id="12"/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Провайдер данных к ЭКБСОН</dc:title>
  <dc:creator/>
  <cp:keywords/>
  <dcterms:created xsi:type="dcterms:W3CDTF">2026-09-11T19:42:48Z</dcterms:created>
  <dcterms:modified xsi:type="dcterms:W3CDTF">2026-09-11T19:42:48Z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