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интеграции с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раметры-интеграции-с-арм-книговыдача"/>
    <w:p>
      <w:pPr>
        <w:pStyle w:val="Heading1"/>
      </w:pPr>
      <w:r>
        <w:t xml:space="preserve">Параметры интеграции с АРМ Книговыдача</w:t>
      </w:r>
    </w:p>
    <w:p>
      <w:pPr>
        <w:pStyle w:val="FirstParagraph"/>
      </w:pPr>
      <w:r>
        <w:t xml:space="preserve">Настройки для фиксации факта просмотра полных текстов в статистике модуля книговыдачи.</w:t>
      </w:r>
    </w:p>
    <w:bookmarkStart w:id="9" w:name="X87f80bf909191ef19914d94a743ef9634edf217"/>
    <w:p>
      <w:pPr>
        <w:pStyle w:val="Heading2"/>
      </w:pPr>
      <w:r>
        <w:t xml:space="preserve">1. Отмечать просмотр документа как выдачу (</w:t>
      </w:r>
      <w:r>
        <w:rPr>
          <w:rStyle w:val="VerbatimChar"/>
        </w:rPr>
        <w:t xml:space="preserve">useKv</w:t>
      </w:r>
      <w:r>
        <w:t xml:space="preserve">)</w:t>
      </w:r>
    </w:p>
    <w:p>
      <w:pPr>
        <w:pStyle w:val="FirstParagraph"/>
      </w:pPr>
      <w:r>
        <w:t xml:space="preserve">Включает автоматическую запись сведений о просмотре в базу данных в виде выданного экземпляра.</w:t>
      </w:r>
    </w:p>
    <w:p>
      <w:pPr>
        <w:pStyle w:val="BodyText"/>
      </w:pPr>
      <w:r>
        <w:rPr>
          <w:i/>
          <w:iCs/>
        </w:rPr>
        <w:t xml:space="preserve">Примечание: Выдачей считается не только открытие документа во встроенном вьювере браузера, но и прямое скачивание файла пользователем (если права на скачивание предоставлены).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При включении этой опции система не только фиксирует выдачу в базе читателей, но и</w:t>
      </w:r>
      <w:r>
        <w:t xml:space="preserve"> </w:t>
      </w:r>
      <w:r>
        <w:rPr>
          <w:b/>
          <w:bCs/>
        </w:rPr>
        <w:t xml:space="preserve">автоматически увеличивает счетчик книговыдач (поле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999</w:t>
      </w:r>
      <w:r>
        <w:rPr>
          <w:b/>
          <w:bCs/>
        </w:rPr>
        <w:t xml:space="preserve">)</w:t>
      </w:r>
      <w:r>
        <w:t xml:space="preserve"> </w:t>
      </w:r>
      <w:r>
        <w:t xml:space="preserve">в связанной библиографической записи электронного каталога.</w:t>
      </w:r>
      <w:r>
        <w:t xml:space="preserve"> </w:t>
      </w:r>
      <w:r>
        <w:t xml:space="preserve">@@@</w:t>
      </w:r>
    </w:p>
    <w:bookmarkEnd w:id="9"/>
    <w:bookmarkStart w:id="10" w:name="обозначение-места-выдачи-mkv"/>
    <w:p>
      <w:pPr>
        <w:pStyle w:val="Heading2"/>
      </w:pPr>
      <w:r>
        <w:t xml:space="preserve">2. Обозначение места выдачи (</w:t>
      </w:r>
      <w:r>
        <w:rPr>
          <w:rStyle w:val="VerbatimChar"/>
        </w:rPr>
        <w:t xml:space="preserve">mkv</w:t>
      </w:r>
      <w:r>
        <w:t xml:space="preserve">)</w:t>
      </w:r>
    </w:p>
    <w:p>
      <w:pPr>
        <w:pStyle w:val="FirstParagraph"/>
      </w:pPr>
      <w:r>
        <w:t xml:space="preserve">Сигла места выдачи, которая будет проставлена в записи читателя (по умолчанию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bookmarkEnd w:id="10"/>
    <w:bookmarkStart w:id="11" w:name="идентификатор-анонимного-читателя-kvri"/>
    <w:p>
      <w:pPr>
        <w:pStyle w:val="Heading2"/>
      </w:pPr>
      <w:r>
        <w:t xml:space="preserve">3. Идентификатор анонимного читателя (</w:t>
      </w:r>
      <w:r>
        <w:rPr>
          <w:rStyle w:val="VerbatimChar"/>
        </w:rPr>
        <w:t xml:space="preserve">kvri</w:t>
      </w:r>
      <w:r>
        <w:t xml:space="preserve">)</w:t>
      </w:r>
    </w:p>
    <w:p>
      <w:pPr>
        <w:pStyle w:val="FirstParagraph"/>
      </w:pPr>
      <w:r>
        <w:t xml:space="preserve">Идентификатор (или штрих-код) читателя, на которого будут оформляться выдачи при просмотре документа неавторизованными пользователями.</w:t>
      </w:r>
    </w:p>
    <w:bookmarkEnd w:id="11"/>
    <w:bookmarkStart w:id="12" w:name="X707440f5c0ffc224d501aa42be2f73c240abd4d"/>
    <w:p>
      <w:pPr>
        <w:pStyle w:val="Heading2"/>
      </w:pPr>
      <w:r>
        <w:t xml:space="preserve">4. Минимальное время между выдачами одного и того же документа для анонимного читателя (</w:t>
      </w:r>
      <w:r>
        <w:rPr>
          <w:rStyle w:val="VerbatimChar"/>
        </w:rPr>
        <w:t xml:space="preserve">timeBetweenBooklandRepeatUniversalUser</w:t>
      </w:r>
      <w:r>
        <w:t xml:space="preserve">)</w:t>
      </w:r>
    </w:p>
    <w:p>
      <w:pPr>
        <w:pStyle w:val="FirstParagraph"/>
      </w:pPr>
      <w:r>
        <w:t xml:space="preserve">Время в минутах, которое должно пройти перед тем, как система снова зафиксирует выдачу того же документа для анонимного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интеграции с АРМ Книговыдача</dc:title>
  <dc:creator/>
  <cp:keywords/>
  <dcterms:created xsi:type="dcterms:W3CDTF">2026-09-12T19:19:57Z</dcterms:created>
  <dcterms:modified xsi:type="dcterms:W3CDTF">2026-09-12T19:19:57Z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