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DP_neb используется как внешний провайдер данных к НЭБ. Он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преобразует поисковый запрос через</w:t>
      </w:r>
      <w:r>
        <w:t xml:space="preserve"> </w:t>
      </w:r>
      <w:r>
        <w:rPr>
          <w:rStyle w:val="VerbatimChar"/>
        </w:rPr>
        <w:t xml:space="preserve">DP_neb_Query</w:t>
      </w:r>
      <w:r>
        <w:t xml:space="preserve">, обращается к XML API поиска НЭБ и преобразует полученные</w:t>
      </w:r>
      <w:r>
        <w:t xml:space="preserve"> </w:t>
      </w:r>
      <w:r>
        <w:rPr>
          <w:rStyle w:val="VerbatimChar"/>
        </w:rPr>
        <w:t xml:space="preserve">MetaString</w:t>
      </w:r>
      <w:r>
        <w:t xml:space="preserve">/</w:t>
      </w:r>
      <w:r>
        <w:rPr>
          <w:rStyle w:val="VerbatimChar"/>
        </w:rPr>
        <w:t xml:space="preserve">MetaText</w:t>
      </w:r>
      <w:r>
        <w:t xml:space="preserve"> </w:t>
      </w:r>
      <w:r>
        <w:t xml:space="preserve">в объект записи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адрес сервиса, по умолчанию</w:t>
      </w:r>
      <w:r>
        <w:t xml:space="preserve"> </w:t>
      </w:r>
      <w:r>
        <w:rPr>
          <w:rStyle w:val="VerbatimChar"/>
        </w:rPr>
        <w:t xml:space="preserve">www.vlibrary.ru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порт подключения.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данные, если они используются внешним сервисом.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внешнего запроса.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PROVIDER.MAXSESSIONS</w:t>
      </w:r>
      <w:r>
        <w:t xml:space="preserve"> </w:t>
      </w:r>
      <w:r>
        <w:t xml:space="preserve">- ограничение параллельных сессий.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Поисковые префиксы ИРБИС преобразуются в поля НЭБ: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Префикс</w:t>
            </w:r>
          </w:p>
        </w:tc>
        <w:tc>
          <w:tcPr/>
          <w:p>
            <w:pPr>
              <w:pStyle w:val="Compact"/>
            </w:pPr>
            <w:r>
              <w:t xml:space="preserve">Поле НЭБ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publishyear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publishplace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authorbook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V=EXT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file_size&gt;0</w:t>
            </w:r>
          </w:p>
        </w:tc>
      </w:tr>
    </w:tbl>
    <w:p>
      <w:pPr>
        <w:pStyle w:val="BodyText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ConvertSearchExpression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XML и метаданных:</w:t>
      </w:r>
      <w:r>
        <w:t xml:space="preserve"> </w:t>
      </w:r>
      <w:r>
        <w:rPr>
          <w:rStyle w:val="VerbatimChar"/>
        </w:rPr>
        <w:t xml:space="preserve">ParseMetaString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ParseTextSeg</w:t>
      </w:r>
      <w:r>
        <w:t xml:space="preserve">,</w:t>
      </w:r>
      <w:r>
        <w:t xml:space="preserve"> </w:t>
      </w:r>
      <w:r>
        <w:rPr>
          <w:rStyle w:val="VerbatimChar"/>
        </w:rPr>
        <w:t xml:space="preserve">xml2obj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Файлы, запись и служебные операции: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wlog</w:t>
      </w:r>
      <w:r>
        <w:t xml:space="preserve">.</w:t>
      </w:r>
    </w:p>
    <w:p>
      <w:pPr>
        <w:pStyle w:val="FirstParagraph"/>
      </w:pPr>
      <w:r>
        <w:t xml:space="preserve">При формировании записи модуль заполняет, в частности, поля</w:t>
      </w:r>
      <w:r>
        <w:t xml:space="preserve"> </w:t>
      </w:r>
      <w:r>
        <w:rPr>
          <w:rStyle w:val="VerbatimChar"/>
        </w:rPr>
        <w:t xml:space="preserve">200</w:t>
      </w:r>
      <w:r>
        <w:t xml:space="preserve">,</w:t>
      </w:r>
      <w:r>
        <w:t xml:space="preserve"> </w:t>
      </w:r>
      <w:r>
        <w:rPr>
          <w:rStyle w:val="VerbatimChar"/>
        </w:rPr>
        <w:t xml:space="preserve">210</w:t>
      </w:r>
      <w:r>
        <w:t xml:space="preserve">,</w:t>
      </w:r>
      <w:r>
        <w:t xml:space="preserve"> </w:t>
      </w:r>
      <w:r>
        <w:rPr>
          <w:rStyle w:val="VerbatimChar"/>
        </w:rPr>
        <w:t xml:space="preserve">215</w:t>
      </w:r>
      <w:r>
        <w:t xml:space="preserve">,</w:t>
      </w:r>
      <w:r>
        <w:t xml:space="preserve"> </w:t>
      </w:r>
      <w:r>
        <w:rPr>
          <w:rStyle w:val="VerbatimChar"/>
        </w:rPr>
        <w:t xml:space="preserve">314</w:t>
      </w:r>
      <w:r>
        <w:t xml:space="preserve">,</w:t>
      </w:r>
      <w:r>
        <w:t xml:space="preserve"> </w:t>
      </w: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701</w:t>
      </w:r>
      <w:r>
        <w:t xml:space="preserve">,</w:t>
      </w:r>
      <w:r>
        <w:t xml:space="preserve"> </w:t>
      </w:r>
      <w:r>
        <w:rPr>
          <w:rStyle w:val="VerbatimChar"/>
        </w:rPr>
        <w:t xml:space="preserve">903</w:t>
      </w:r>
      <w:r>
        <w:t xml:space="preserve">,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. Если в ответе НЭБ есть файл или размер файла, в поле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добавляется ссылка на карточку электронного ресурса и источник</w:t>
      </w:r>
      <w:r>
        <w:t xml:space="preserve"> </w:t>
      </w:r>
      <w:r>
        <w:rPr>
          <w:rStyle w:val="VerbatimChar"/>
        </w:rPr>
        <w:t xml:space="preserve">НЭБ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HTTP-запросы к НЭБ.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Help/ModuleRoot&amp;module=DP_neb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2026-09-12T16:14:26Z</dcterms:created>
  <dcterms:modified xsi:type="dcterms:W3CDTF">2026-09-12T16:14:26Z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