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Формат API/info для библиографических записей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8257e00f6971b6afa346d0bb438e1302a8f6479"/>
    <w:p>
      <w:pPr>
        <w:pStyle w:val="Heading1"/>
      </w:pPr>
      <w:r>
        <w:t xml:space="preserve">Формат API/info для библиографических записей</w:t>
      </w:r>
    </w:p>
    <w:p>
      <w:pPr>
        <w:pStyle w:val="FirstParagraph"/>
      </w:pPr>
      <w:r>
        <w:t xml:space="preserve">Формат</w:t>
      </w:r>
      <w:r>
        <w:t xml:space="preserve"> </w:t>
      </w:r>
      <w:r>
        <w:rPr>
          <w:rStyle w:val="VerbatimChar"/>
        </w:rPr>
        <w:t xml:space="preserve">@API/info</w:t>
      </w:r>
      <w:r>
        <w:t xml:space="preserve"> </w:t>
      </w:r>
      <w:r>
        <w:t xml:space="preserve">возвращает библиографическую запись в виде JSON-структуры для внешних интеграций и портальных решений. Его удобно использовать, когда клиенту нужны не HTML-фрагменты, а заранее разложенные поля: заглавие, авторы, выходные данные, классификационные индексы, ключевые слова, аннотация, сведения об экземплярах и ссылки на внешние объекты.</w:t>
      </w:r>
    </w:p>
    <w:bookmarkStart w:id="9" w:name="использование"/>
    <w:p>
      <w:pPr>
        <w:pStyle w:val="Heading2"/>
      </w:pPr>
      <w:r>
        <w:t xml:space="preserve">1. Использование</w:t>
      </w:r>
    </w:p>
    <w:p>
      <w:pPr>
        <w:pStyle w:val="FirstParagraph"/>
      </w:pPr>
      <w:r>
        <w:t xml:space="preserve">В JSON-RPC методе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 </w:t>
      </w:r>
      <w:r>
        <w:t xml:space="preserve">формат передается параметром</w:t>
      </w:r>
      <w:r>
        <w:t xml:space="preserve"> </w:t>
      </w:r>
      <w:r>
        <w:rPr>
          <w:rStyle w:val="VerbatimChar"/>
        </w:rPr>
        <w:t xml:space="preserve">$format</w:t>
      </w:r>
      <w:r>
        <w:t xml:space="preserve">:</w:t>
      </w:r>
    </w:p>
    <w:p>
      <w:pPr>
        <w:pStyle w:val="SourceCode"/>
      </w:pPr>
      <w:r>
        <w:rPr>
          <w:rStyle w:val="VariableTok"/>
        </w:rPr>
        <w:t xml:space="preserve">$result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$api</w:t>
      </w:r>
      <w:r>
        <w:rPr>
          <w:rStyle w:val="NormalTok"/>
        </w:rPr>
        <w:t xml:space="preserve">-&gt;Search(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'A=$'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'@API/info'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true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false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true</w:t>
      </w:r>
      <w:r>
        <w:br/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Если последний параметр</w:t>
      </w:r>
      <w:r>
        <w:t xml:space="preserve"> </w:t>
      </w:r>
      <w:r>
        <w:rPr>
          <w:rStyle w:val="VerbatimChar"/>
        </w:rPr>
        <w:t xml:space="preserve">$asJson</w:t>
      </w:r>
      <w:r>
        <w:t xml:space="preserve"> </w:t>
      </w:r>
      <w:r>
        <w:t xml:space="preserve">равен</w:t>
      </w:r>
      <w:r>
        <w:t xml:space="preserve"> </w:t>
      </w:r>
      <w:r>
        <w:rPr>
          <w:rStyle w:val="VerbatimChar"/>
        </w:rPr>
        <w:t xml:space="preserve">true</w:t>
      </w:r>
      <w:r>
        <w:t xml:space="preserve">, метод пытается преобразовать каждую отформатированную запись из JSON-строки в объект. Если</w:t>
      </w:r>
      <w:r>
        <w:t xml:space="preserve"> </w:t>
      </w:r>
      <w:r>
        <w:rPr>
          <w:rStyle w:val="VerbatimChar"/>
        </w:rPr>
        <w:t xml:space="preserve">$asJson</w:t>
      </w:r>
      <w:r>
        <w:t xml:space="preserve"> </w:t>
      </w:r>
      <w:r>
        <w:t xml:space="preserve">равен</w:t>
      </w:r>
      <w:r>
        <w:t xml:space="preserve"> </w:t>
      </w:r>
      <w:r>
        <w:rPr>
          <w:rStyle w:val="VerbatimChar"/>
        </w:rPr>
        <w:t xml:space="preserve">false</w:t>
      </w:r>
      <w:r>
        <w:t xml:space="preserve">, результат форматирования возвращается как строка.</w:t>
      </w:r>
    </w:p>
    <w:p>
      <w:pPr>
        <w:pStyle w:val="BodyText"/>
      </w:pPr>
      <w:r>
        <w:t xml:space="preserve">Тот же формат можно применять в других точках, где доступно форматирование ИРБИС 128 с указанием контейнера формата</w:t>
      </w:r>
      <w:r>
        <w:t xml:space="preserve"> </w:t>
      </w:r>
      <w:r>
        <w:rPr>
          <w:rStyle w:val="VerbatimChar"/>
        </w:rPr>
        <w:t xml:space="preserve">API</w:t>
      </w:r>
      <w:r>
        <w:t xml:space="preserve">, например через вызовы, которые принимают имя формата в виде</w:t>
      </w:r>
      <w:r>
        <w:t xml:space="preserve"> </w:t>
      </w:r>
      <w:r>
        <w:rPr>
          <w:rStyle w:val="VerbatimChar"/>
        </w:rPr>
        <w:t xml:space="preserve">@API/info</w:t>
      </w:r>
      <w:r>
        <w:t xml:space="preserve">.</w:t>
      </w:r>
    </w:p>
    <w:bookmarkEnd w:id="9"/>
    <w:bookmarkStart w:id="10" w:name="как-формируется-результат"/>
    <w:p>
      <w:pPr>
        <w:pStyle w:val="Heading2"/>
      </w:pPr>
      <w:r>
        <w:t xml:space="preserve">2. Как формируется результат</w:t>
      </w:r>
    </w:p>
    <w:p>
      <w:pPr>
        <w:pStyle w:val="FirstParagraph"/>
      </w:pPr>
      <w:r>
        <w:t xml:space="preserve">Основной PHP-формат находится в</w:t>
      </w:r>
      <w:r>
        <w:t xml:space="preserve"> </w:t>
      </w:r>
      <w:r>
        <w:rPr>
          <w:rStyle w:val="VerbatimChar"/>
        </w:rPr>
        <w:t xml:space="preserve">modules/API/Formats/info.pft128</w:t>
      </w:r>
      <w:r>
        <w:t xml:space="preserve">. Он формирует служебные поля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,</w:t>
      </w:r>
      <w:r>
        <w:t xml:space="preserve"> </w:t>
      </w:r>
      <w:r>
        <w:rPr>
          <w:rStyle w:val="VerbatimChar"/>
        </w:rPr>
        <w:t xml:space="preserve">examplarInfo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url</w:t>
      </w:r>
      <w:r>
        <w:t xml:space="preserve">, затем вызывает подформат</w:t>
      </w:r>
      <w:r>
        <w:t xml:space="preserve"> </w:t>
      </w:r>
      <w:r>
        <w:rPr>
          <w:rStyle w:val="VerbatimChar"/>
        </w:rPr>
        <w:t xml:space="preserve">@api_info</w:t>
      </w:r>
      <w:r>
        <w:t xml:space="preserve">.</w:t>
      </w:r>
    </w:p>
    <w:p>
      <w:pPr>
        <w:pStyle w:val="BodyText"/>
      </w:pPr>
      <w:r>
        <w:t xml:space="preserve">Формат</w:t>
      </w:r>
      <w:r>
        <w:t xml:space="preserve"> </w:t>
      </w:r>
      <w:r>
        <w:rPr>
          <w:rStyle w:val="VerbatimChar"/>
        </w:rPr>
        <w:t xml:space="preserve">api_info.pft</w:t>
      </w:r>
      <w:r>
        <w:t xml:space="preserve"> </w:t>
      </w:r>
      <w:r>
        <w:t xml:space="preserve">собирает XML-блок из набора отдельных PFT-файлов</w:t>
      </w:r>
      <w:r>
        <w:t xml:space="preserve"> </w:t>
      </w:r>
      <w:r>
        <w:rPr>
          <w:rStyle w:val="VerbatimChar"/>
        </w:rPr>
        <w:t xml:space="preserve">api_info_*.pft</w:t>
      </w:r>
      <w:r>
        <w:t xml:space="preserve">, а</w:t>
      </w:r>
      <w:r>
        <w:t xml:space="preserve"> </w:t>
      </w:r>
      <w:r>
        <w:rPr>
          <w:rStyle w:val="VerbatimChar"/>
        </w:rPr>
        <w:t xml:space="preserve">info.pft128</w:t>
      </w:r>
      <w:r>
        <w:t xml:space="preserve"> </w:t>
      </w:r>
      <w:r>
        <w:t xml:space="preserve">переносит эти блоки в JSON-поля. PFT-файлы поставляются в составе дистрибутивных данных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в каталоге</w:t>
      </w:r>
      <w:r>
        <w:t xml:space="preserve"> </w:t>
      </w:r>
      <w:r>
        <w:rPr>
          <w:rStyle w:val="VerbatimChar"/>
        </w:rPr>
        <w:t xml:space="preserve">Distr/datai/deposit</w:t>
      </w:r>
      <w:r>
        <w:t xml:space="preserve"> </w:t>
      </w:r>
      <w:r>
        <w:t xml:space="preserve">и рассчитаны на библиографические записи депозитной структуры.</w:t>
      </w:r>
    </w:p>
    <w:bookmarkEnd w:id="10"/>
    <w:bookmarkStart w:id="11" w:name="поля-json"/>
    <w:p>
      <w:pPr>
        <w:pStyle w:val="Heading2"/>
      </w:pPr>
      <w:r>
        <w:t xml:space="preserve">3. Поля JSON</w:t>
      </w:r>
    </w:p>
    <w:p>
      <w:pPr>
        <w:pStyle w:val="FirstParagraph"/>
      </w:pPr>
      <w:r>
        <w:t xml:space="preserve">Таблица 1. Поля формата API/info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Источник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brief</w:t>
            </w:r>
          </w:p>
        </w:tc>
        <w:tc>
          <w:tcPr/>
          <w:p>
            <w:pPr>
              <w:pStyle w:val="Compact"/>
            </w:pPr>
            <w:r>
              <w:t xml:space="preserve">краткое библиографическое описание, сформированное внутри</w:t>
            </w:r>
            <w:r>
              <w:t xml:space="preserve"> </w:t>
            </w:r>
            <w:r>
              <w:rPr>
                <w:rStyle w:val="VerbatimChar"/>
              </w:rPr>
              <w:t xml:space="preserve">info.pft128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examplarInfo</w:t>
            </w:r>
          </w:p>
        </w:tc>
        <w:tc>
          <w:tcPr/>
          <w:p>
            <w:pPr>
              <w:pStyle w:val="Compact"/>
            </w:pPr>
            <w:r>
              <w:t xml:space="preserve">сведения об экземплярах из</w:t>
            </w:r>
            <w:r>
              <w:t xml:space="preserve"> </w:t>
            </w:r>
            <w:r>
              <w:rPr>
                <w:rStyle w:val="VerbatimChar"/>
              </w:rPr>
              <w:t xml:space="preserve">RQST::GetExemplarsInfo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title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api_info_title.pft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interestingArticles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api_info_interesting_articles.pft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onTabs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api_info_on_tabs.pft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documentType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api_info_document_type.pft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publicationCode</w:t>
            </w:r>
          </w:p>
        </w:tc>
        <w:tc>
          <w:tcPr/>
          <w:p>
            <w:pPr>
              <w:pStyle w:val="Compact"/>
            </w:pPr>
            <w:r>
              <w:t xml:space="preserve">поле записи</w:t>
            </w:r>
            <w:r>
              <w:t xml:space="preserve"> </w:t>
            </w:r>
            <w:r>
              <w:rPr>
                <w:rStyle w:val="VerbatimChar"/>
              </w:rPr>
              <w:t xml:space="preserve">903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authors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api_info_authors.pft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unifiedFormHeader</w:t>
            </w:r>
          </w:p>
        </w:tc>
        <w:tc>
          <w:tcPr/>
          <w:p>
            <w:pPr>
              <w:pStyle w:val="Compact"/>
            </w:pPr>
            <w:r>
              <w:t xml:space="preserve">подполе</w:t>
            </w:r>
            <w:r>
              <w:t xml:space="preserve"> </w:t>
            </w:r>
            <w:r>
              <w:rPr>
                <w:rStyle w:val="VerbatimChar"/>
              </w:rPr>
              <w:t xml:space="preserve">503^a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parallelTitles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api_info_parallel_titles.pft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transliteratedTitle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api_info_transliterated_title.pft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imprint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api_info_imprint.pft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quantitativeCharacteristics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api_info_quantitative_characteristics.pft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teams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api_info_teams.pft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series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api_info_series.pft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misreadTitles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api_info_misread_titles.pft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translationOfThePublication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api_info_translation_of_the_publication.pft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parallelEditions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api_info_parallel_editions.pft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braided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api_info_braided.pft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placeOfPublication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api_info_place_of_publication.pft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typeAndVolumeOfResource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api_info_type_and_volume_of_resource.pft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systemRequirements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api_info_system_requirements.pft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notes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api_info_notes.pft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issn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api_info_issn.pft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isbn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api_info_isbn.pft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identificationNumber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api_info_identification_number.pft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grnti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api_info_grnti.pft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udc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api_info_udc.pft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bbk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api_info_bbk.pft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subjectHeadings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api_info_subject_headings.pft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meshMain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api_info_mesh_main.pft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meshNonMain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api_info_mesh_nonmain.pft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geographicalHeadings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api_info_geographical_headings.pft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descriptor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api_info_descriptor.pft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keywords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api_info_keywords.pft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content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api_info_content.pft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annotation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api_info_annotation.pft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receiptsRegistered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api_info_receipts_registered.pft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thePublicationCanBeFoundIn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api_info_the_publication_can_be_found_in.pft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url</w:t>
            </w:r>
          </w:p>
        </w:tc>
        <w:tc>
          <w:tcPr/>
          <w:p>
            <w:pPr>
              <w:pStyle w:val="Compact"/>
            </w:pPr>
            <w:r>
              <w:t xml:space="preserve">поле записи</w:t>
            </w:r>
            <w:r>
              <w:t xml:space="preserve"> </w:t>
            </w:r>
            <w:r>
              <w:rPr>
                <w:rStyle w:val="VerbatimChar"/>
              </w:rPr>
              <w:t xml:space="preserve">951</w:t>
            </w:r>
            <w:r>
              <w:t xml:space="preserve">, возвращается как массив подполей</w:t>
            </w:r>
          </w:p>
        </w:tc>
      </w:tr>
    </w:tbl>
    <w:bookmarkEnd w:id="11"/>
    <w:bookmarkStart w:id="12" w:name="ограничения"/>
    <w:p>
      <w:pPr>
        <w:pStyle w:val="Heading2"/>
      </w:pPr>
      <w:r>
        <w:t xml:space="preserve">4. Ограничения</w:t>
      </w:r>
    </w:p>
    <w:p>
      <w:pPr>
        <w:pStyle w:val="Compact"/>
        <w:numPr>
          <w:ilvl w:val="0"/>
          <w:numId w:val="1001"/>
        </w:numPr>
      </w:pPr>
      <w:r>
        <w:t xml:space="preserve">формат ориентирован на библиографические записи, где заполнены поля депозитной структуры;</w:t>
      </w:r>
    </w:p>
    <w:p>
      <w:pPr>
        <w:pStyle w:val="Compact"/>
        <w:numPr>
          <w:ilvl w:val="0"/>
          <w:numId w:val="1001"/>
        </w:numPr>
      </w:pPr>
      <w:r>
        <w:t xml:space="preserve">пустые библиографические блоки возвращаются как пустые строки;</w:t>
      </w:r>
    </w:p>
    <w:p>
      <w:pPr>
        <w:pStyle w:val="Compact"/>
        <w:numPr>
          <w:ilvl w:val="0"/>
          <w:numId w:val="1001"/>
        </w:numPr>
      </w:pPr>
      <w:r>
        <w:t xml:space="preserve">если результат используется через JSON-RPC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, для получения объектов вместо строк нужно передавать</w:t>
      </w:r>
      <w:r>
        <w:t xml:space="preserve"> </w:t>
      </w:r>
      <w:r>
        <w:rPr>
          <w:rStyle w:val="VerbatimChar"/>
        </w:rPr>
        <w:t xml:space="preserve">$asJson = true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состав и смысл полей JSON являются частью контракта интеграции, поэтому при изменении PFT-файлов нужно сохранять имена полей.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Формат API/info для библиографических записей</dc:title>
  <dc:creator/>
  <cp:keywords/>
  <dcterms:created xsi:type="dcterms:W3CDTF">2026-09-14T05:30:48Z</dcterms:created>
  <dcterms:modified xsi:type="dcterms:W3CDTF">2026-09-14T05:30:48Z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