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[I128-2145] Изменен способ показа авторитетной записи на стандартный в зависимости от рабочего листа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e6bb2d65d0b207cb2940c1cbe77d13b7f52f6d"/>
    <w:p>
      <w:pPr>
        <w:pStyle w:val="Heading1"/>
      </w:pPr>
      <w:r>
        <w:t xml:space="preserve">[I128-2145] Изменен способ показа авторитетной записи на стандартный в зависимости от рабочего листа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23.02.2026 13:58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0"/>
    <w:p>
      <w:pPr>
        <w:pStyle w:val="Heading3"/>
      </w:pPr>
      <w:r>
        <w:t xml:space="preserve">1.1. 🔗 Соответствует задача: I128-2200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[I128-2200]</w:t>
        </w:r>
      </w:hyperlink>
      <w:r>
        <w:t xml:space="preserve"> </w:t>
      </w:r>
      <w:r>
        <w:t xml:space="preserve">Изменен способ показа авторитетной записи на стандартный в зависимости от рабочего листа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[I128-2145] Изменен способ показа авторитетной записи на стандартный в зависимости от рабочего листа</dc:title>
  <dc:creator/>
  <cp:keywords/>
  <dcterms:created xsi:type="dcterms:W3CDTF">2026-09-11T15:45:42Z</dcterms:created>
  <dcterms:modified xsi:type="dcterms:W3CDTF">2026-09-11T15:45:42Z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