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[I128-1727]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b5e07fdc7547590cb463ce2a942774a97d549"/>
    <w:p>
      <w:pPr>
        <w:pStyle w:val="Heading1"/>
      </w:pPr>
      <w:r>
        <w:t xml:space="preserve">[I128-1727]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19.09.2025 11:36</w:t>
      </w:r>
    </w:p>
    <w:p>
      <w:pPr>
        <w:pStyle w:val="BodyText"/>
      </w:pPr>
      <w:r>
        <w:t xml:space="preserve">AVD попросили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94"/>
    <w:p>
      <w:pPr>
        <w:pStyle w:val="Heading3"/>
      </w:pPr>
      <w:r>
        <w:t xml:space="preserve">1.1. 🔗 Соответствует задача: I128-1794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[I128-1794]</w:t>
        </w:r>
      </w:hyperlink>
      <w:r>
        <w:t xml:space="preserve"> </w:t>
      </w:r>
      <w:r>
        <w:t xml:space="preserve">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[I128-1727] Сделать возможность разделить настройки рфид, чтобы было возможно отдельно прописать параметры оборудования для чтения книг и читательских</dc:title>
  <dc:creator/>
  <cp:keywords/>
  <dcterms:created xsi:type="dcterms:W3CDTF">2026-09-10T17:05:42Z</dcterms:created>
  <dcterms:modified xsi:type="dcterms:W3CDTF">2026-09-10T17:05:42Z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