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Признак иностранного агента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изнак-иностранного-агента"/>
    <w:p>
      <w:pPr>
        <w:pStyle w:val="Heading1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ATHRC</w:t>
      </w:r>
      <w:r>
        <w:t xml:space="preserve"> </w:t>
      </w:r>
      <w:r>
        <w:t xml:space="preserve">используется при выборе коллективного автора или организации из авторитетного файла, в том числе через метод ввода 10 в записи каталога. Если для организации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наименования вручную.</w:t>
      </w:r>
    </w:p>
    <w:bookmarkStart w:id="9" w:name="как-работает-признак"/>
    <w:p>
      <w:pPr>
        <w:pStyle w:val="Heading2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организации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с заголовком коллективного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организации из авторитетного файла перед наименованием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9"/>
    <w:bookmarkStart w:id="10" w:name="что-проверять-при-редактировании"/>
    <w:p>
      <w:pPr>
        <w:pStyle w:val="Heading2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Коллективный автор выбран из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наименования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организацией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коллективного автора из авторитетного файла.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Признак иностранного агента</dc:title>
  <dc:creator/>
  <cp:keywords/>
  <dcterms:created xsi:type="dcterms:W3CDTF">2026-09-09T23:04:56Z</dcterms:created>
  <dcterms:modified xsi:type="dcterms:W3CDTF">2026-09-09T23:04:56Z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