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Каталог Distr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28" w:name="каталог-distr"/>
    <w:p>
      <w:pPr>
        <w:pStyle w:val="Heading1"/>
      </w:pPr>
      <w:r>
        <w:t xml:space="preserve">Каталог Distr</w:t>
      </w:r>
    </w:p>
    <w:p>
      <w:pPr>
        <w:pStyle w:val="FirstParagraph"/>
      </w:pPr>
      <w:r>
        <w:t xml:space="preserve">Каталог</w:t>
      </w:r>
      <w:r>
        <w:t xml:space="preserve"> </w:t>
      </w:r>
      <w:r>
        <w:rPr>
          <w:rStyle w:val="VerbatimChar"/>
        </w:rPr>
        <w:t xml:space="preserve">modules/i128f/Distr</w:t>
      </w:r>
      <w:r>
        <w:t xml:space="preserve"> </w:t>
      </w:r>
      <w:r>
        <w:t xml:space="preserve">хранит комплект поставки, который нужен для развертывания и обслуживания инфраструктуры ИРБИС64 рядом с ИРБИС 128.</w:t>
      </w:r>
    </w:p>
    <w:bookmarkStart w:id="9" w:name="состав-поставки"/>
    <w:p>
      <w:pPr>
        <w:pStyle w:val="Heading2"/>
      </w:pPr>
      <w:r>
        <w:t xml:space="preserve">1. Состав поставки</w:t>
      </w:r>
    </w:p>
    <w:p>
      <w:pPr>
        <w:pStyle w:val="FirstParagraph"/>
      </w:pPr>
      <w:r>
        <w:t xml:space="preserve">В каталоге находятся:</w:t>
      </w:r>
    </w:p>
    <w:p>
      <w:pPr>
        <w:pStyle w:val="Compact"/>
        <w:numPr>
          <w:ilvl w:val="0"/>
          <w:numId w:val="1001"/>
        </w:numPr>
      </w:pPr>
      <w:r>
        <w:t xml:space="preserve">серверные компоненты для Windows и Linux;</w:t>
      </w:r>
    </w:p>
    <w:p>
      <w:pPr>
        <w:pStyle w:val="Compact"/>
        <w:numPr>
          <w:ilvl w:val="0"/>
          <w:numId w:val="1001"/>
        </w:numPr>
      </w:pPr>
      <w:r>
        <w:t xml:space="preserve">вспомогательные утилиты ИРБИС64;</w:t>
      </w:r>
    </w:p>
    <w:p>
      <w:pPr>
        <w:pStyle w:val="Compact"/>
        <w:numPr>
          <w:ilvl w:val="0"/>
          <w:numId w:val="1001"/>
        </w:numPr>
      </w:pPr>
      <w:r>
        <w:t xml:space="preserve">средства преобразования RTF в HTML для Windows-компонентов:</w:t>
      </w:r>
      <w:r>
        <w:t xml:space="preserve"> </w:t>
      </w:r>
      <w:r>
        <w:rPr>
          <w:rStyle w:val="VerbatimChar"/>
        </w:rPr>
        <w:t xml:space="preserve">unrtf</w:t>
      </w:r>
      <w:r>
        <w:t xml:space="preserve">, сценарий запуска для записи результата в файл и конфигурация HTML-конвертации;</w:t>
      </w:r>
    </w:p>
    <w:p>
      <w:pPr>
        <w:pStyle w:val="Compact"/>
        <w:numPr>
          <w:ilvl w:val="0"/>
          <w:numId w:val="1001"/>
        </w:numPr>
      </w:pPr>
      <w:r>
        <w:t xml:space="preserve">redistributable-пакеты и библиотеки;</w:t>
      </w:r>
    </w:p>
    <w:p>
      <w:pPr>
        <w:pStyle w:val="Compact"/>
        <w:numPr>
          <w:ilvl w:val="0"/>
          <w:numId w:val="1001"/>
        </w:numPr>
      </w:pPr>
      <w:r>
        <w:t xml:space="preserve">библиотеки, которые нужны Linux-АРМам для работы внутри AppImage;</w:t>
      </w:r>
    </w:p>
    <w:p>
      <w:pPr>
        <w:pStyle w:val="Compact"/>
        <w:numPr>
          <w:ilvl w:val="0"/>
          <w:numId w:val="1001"/>
        </w:numPr>
      </w:pPr>
      <w:r>
        <w:t xml:space="preserve">типовые базы, словари, форматы, рабочие листы, FST, MNU, INI и другие системные файлы;</w:t>
      </w:r>
    </w:p>
    <w:p>
      <w:pPr>
        <w:pStyle w:val="Compact"/>
        <w:numPr>
          <w:ilvl w:val="0"/>
          <w:numId w:val="1001"/>
        </w:numPr>
      </w:pPr>
      <w:r>
        <w:t xml:space="preserve">документация поставки ИРБИС64;</w:t>
      </w:r>
    </w:p>
    <w:p>
      <w:pPr>
        <w:pStyle w:val="Compact"/>
        <w:numPr>
          <w:ilvl w:val="0"/>
          <w:numId w:val="1001"/>
        </w:numPr>
      </w:pPr>
      <w:r>
        <w:t xml:space="preserve">заготовки и примеры баз данных.</w:t>
      </w:r>
    </w:p>
    <w:bookmarkEnd w:id="9"/>
    <w:bookmarkStart w:id="10" w:name="linux-appimage-и-проверка-орфографии"/>
    <w:p>
      <w:pPr>
        <w:pStyle w:val="Heading2"/>
      </w:pPr>
      <w:r>
        <w:t xml:space="preserve">2. Linux AppImage и проверка орфографии</w:t>
      </w:r>
    </w:p>
    <w:p>
      <w:pPr>
        <w:pStyle w:val="FirstParagraph"/>
      </w:pPr>
      <w:r>
        <w:t xml:space="preserve">В Linux-сборке АРМ Каталогизатор ИРБИС64 Турбо использует библиотеку</w:t>
      </w:r>
      <w:r>
        <w:t xml:space="preserve"> </w:t>
      </w:r>
      <w:r>
        <w:rPr>
          <w:rStyle w:val="VerbatimChar"/>
        </w:rPr>
        <w:t xml:space="preserve">hunspell</w:t>
      </w:r>
      <w:r>
        <w:t xml:space="preserve"> </w:t>
      </w:r>
      <w:r>
        <w:t xml:space="preserve">для морфологического расширения поисковых терминов и проверки доступности словарей. При запуске из AppImage приложение сначала пытается загрузить</w:t>
      </w:r>
      <w:r>
        <w:t xml:space="preserve"> </w:t>
      </w:r>
      <w:r>
        <w:rPr>
          <w:rStyle w:val="VerbatimChar"/>
        </w:rPr>
        <w:t xml:space="preserve">hunspell</w:t>
      </w:r>
      <w:r>
        <w:t xml:space="preserve"> </w:t>
      </w:r>
      <w:r>
        <w:t xml:space="preserve">из системы, а если системная библиотека недоступна, использует библиотеку, включенную в AppImage.</w:t>
      </w:r>
    </w:p>
    <w:p>
      <w:pPr>
        <w:pStyle w:val="BodyText"/>
      </w:pPr>
      <w:r>
        <w:t xml:space="preserve">Такой порядок нужен для рабочих мест, где системные пакеты</w:t>
      </w:r>
      <w:r>
        <w:t xml:space="preserve"> </w:t>
      </w:r>
      <w:r>
        <w:rPr>
          <w:rStyle w:val="VerbatimChar"/>
        </w:rPr>
        <w:t xml:space="preserve">hunspell</w:t>
      </w:r>
      <w:r>
        <w:t xml:space="preserve"> </w:t>
      </w:r>
      <w:r>
        <w:t xml:space="preserve">и</w:t>
      </w:r>
      <w:r>
        <w:t xml:space="preserve"> </w:t>
      </w:r>
      <w:r>
        <w:rPr>
          <w:rStyle w:val="VerbatimChar"/>
        </w:rPr>
        <w:t xml:space="preserve">myspell</w:t>
      </w:r>
      <w:r>
        <w:t xml:space="preserve"> </w:t>
      </w:r>
      <w:r>
        <w:t xml:space="preserve">конфликтуют по зависимостям. Например, установка</w:t>
      </w:r>
      <w:r>
        <w:t xml:space="preserve"> </w:t>
      </w:r>
      <w:r>
        <w:rPr>
          <w:rStyle w:val="VerbatimChar"/>
        </w:rPr>
        <w:t xml:space="preserve">myspell-ru</w:t>
      </w:r>
      <w:r>
        <w:t xml:space="preserve"> </w:t>
      </w:r>
      <w:r>
        <w:t xml:space="preserve">в Astra Linux может потребовать удаления</w:t>
      </w:r>
      <w:r>
        <w:t xml:space="preserve"> </w:t>
      </w:r>
      <w:r>
        <w:rPr>
          <w:rStyle w:val="VerbatimChar"/>
        </w:rPr>
        <w:t xml:space="preserve">hunspell-ru</w:t>
      </w:r>
      <w:r>
        <w:t xml:space="preserve">, поэтому AppImage должен оставаться резервным источником библиотеки для каталогизатора.</w:t>
      </w:r>
    </w:p>
    <w:p>
      <w:pPr>
        <w:pStyle w:val="BodyText"/>
      </w:pPr>
      <w:r>
        <w:t xml:space="preserve">Если морфологический поиск сообщает, что библиотека или словарь недоступны, администратору нужно проверить системный</w:t>
      </w:r>
      <w:r>
        <w:t xml:space="preserve"> </w:t>
      </w:r>
      <w:r>
        <w:rPr>
          <w:rStyle w:val="VerbatimChar"/>
        </w:rPr>
        <w:t xml:space="preserve">hunspell</w:t>
      </w:r>
      <w:r>
        <w:t xml:space="preserve">, состав используемого AppImage и настройки словарей. Не следует заменять</w:t>
      </w:r>
      <w:r>
        <w:t xml:space="preserve"> </w:t>
      </w:r>
      <w:r>
        <w:rPr>
          <w:rStyle w:val="VerbatimChar"/>
        </w:rPr>
        <w:t xml:space="preserve">hunspell-ru</w:t>
      </w:r>
      <w:r>
        <w:t xml:space="preserve"> </w:t>
      </w:r>
      <w:r>
        <w:t xml:space="preserve">пакетом</w:t>
      </w:r>
      <w:r>
        <w:t xml:space="preserve"> </w:t>
      </w:r>
      <w:r>
        <w:rPr>
          <w:rStyle w:val="VerbatimChar"/>
        </w:rPr>
        <w:t xml:space="preserve">myspell-ru</w:t>
      </w:r>
      <w:r>
        <w:t xml:space="preserve"> </w:t>
      </w:r>
      <w:r>
        <w:t xml:space="preserve">без проверки зависимостей конкретного дистрибутива Linux.</w:t>
      </w:r>
    </w:p>
    <w:bookmarkEnd w:id="10"/>
    <w:bookmarkStart w:id="11" w:name="типовые-задания-автоввода-бд-rdr"/>
    <w:p>
      <w:pPr>
        <w:pStyle w:val="Heading2"/>
      </w:pPr>
      <w:r>
        <w:t xml:space="preserve">3. Типовые задания автоввода БД RDR</w:t>
      </w:r>
    </w:p>
    <w:p>
      <w:pPr>
        <w:pStyle w:val="FirstParagraph"/>
      </w:pPr>
      <w:r>
        <w:t xml:space="preserve">В поставку входят задания</w:t>
      </w:r>
      <w:r>
        <w:t xml:space="preserve"> </w:t>
      </w:r>
      <w:r>
        <w:rPr>
          <w:rStyle w:val="VerbatimChar"/>
        </w:rPr>
        <w:t xml:space="preserve">datai/rdr/autoin.gbl</w:t>
      </w:r>
      <w:r>
        <w:t xml:space="preserve"> </w:t>
      </w:r>
      <w:r>
        <w:t xml:space="preserve">и</w:t>
      </w:r>
      <w:r>
        <w:t xml:space="preserve"> </w:t>
      </w:r>
      <w:r>
        <w:rPr>
          <w:rStyle w:val="VerbatimChar"/>
        </w:rPr>
        <w:t xml:space="preserve">datai/rdr/autoin_light.gbl</w:t>
      </w:r>
      <w:r>
        <w:t xml:space="preserve">, а также эталонные копии в</w:t>
      </w:r>
      <w:r>
        <w:t xml:space="preserve"> </w:t>
      </w:r>
      <w:r>
        <w:rPr>
          <w:rStyle w:val="VerbatimChar"/>
        </w:rPr>
        <w:t xml:space="preserve">modules/Admin/CanonicalDb/RDR</w:t>
      </w:r>
      <w:r>
        <w:t xml:space="preserve">. Они используются как типовые сценарии автоматической обработки записей БД читателей</w:t>
      </w:r>
      <w:r>
        <w:t xml:space="preserve"> </w:t>
      </w:r>
      <w:r>
        <w:rPr>
          <w:rStyle w:val="VerbatimChar"/>
        </w:rPr>
        <w:t xml:space="preserve">RDR</w:t>
      </w:r>
      <w:r>
        <w:t xml:space="preserve">.</w:t>
      </w:r>
    </w:p>
    <w:p>
      <w:pPr>
        <w:pStyle w:val="BodyText"/>
      </w:pPr>
      <w:r>
        <w:t xml:space="preserve">Обычный и облегченный варианты формируют служебное поле</w:t>
      </w:r>
      <w:r>
        <w:t xml:space="preserve"> </w:t>
      </w:r>
      <w:r>
        <w:rPr>
          <w:rStyle w:val="VerbatimChar"/>
        </w:rPr>
        <w:t xml:space="preserve">907</w:t>
      </w:r>
      <w:r>
        <w:t xml:space="preserve">, в котором фиксируются дата обработки и пользователь. При создании или переносе читательской записи задание добавляет повторение</w:t>
      </w:r>
      <w:r>
        <w:t xml:space="preserve"> </w:t>
      </w:r>
      <w:r>
        <w:rPr>
          <w:rStyle w:val="VerbatimChar"/>
        </w:rPr>
        <w:t xml:space="preserve">907</w:t>
      </w:r>
      <w:r>
        <w:t xml:space="preserve">, если для текущей даты и пользователя оно еще не найдено. В поставочном</w:t>
      </w:r>
      <w:r>
        <w:t xml:space="preserve"> </w:t>
      </w:r>
      <w:r>
        <w:rPr>
          <w:rStyle w:val="VerbatimChar"/>
        </w:rPr>
        <w:t xml:space="preserve">autoin_light.gbl</w:t>
      </w:r>
      <w:r>
        <w:t xml:space="preserve"> </w:t>
      </w:r>
      <w:r>
        <w:t xml:space="preserve">дополнительно сохраняется технологический признак из</w:t>
      </w:r>
      <w:r>
        <w:t xml:space="preserve"> </w:t>
      </w:r>
      <w:r>
        <w:rPr>
          <w:rStyle w:val="VerbatimChar"/>
        </w:rPr>
        <w:t xml:space="preserve">IPRIVATE,ETR</w:t>
      </w:r>
      <w:r>
        <w:t xml:space="preserve">.</w:t>
      </w:r>
    </w:p>
    <w:p>
      <w:pPr>
        <w:pStyle w:val="BodyText"/>
      </w:pPr>
      <w:r>
        <w:t xml:space="preserve">Если для БД</w:t>
      </w:r>
      <w:r>
        <w:t xml:space="preserve"> </w:t>
      </w:r>
      <w:r>
        <w:rPr>
          <w:rStyle w:val="VerbatimChar"/>
        </w:rPr>
        <w:t xml:space="preserve">RDR</w:t>
      </w:r>
      <w:r>
        <w:t xml:space="preserve"> </w:t>
      </w:r>
      <w:r>
        <w:t xml:space="preserve">выбран облегченный автоввод, подключать полный</w:t>
      </w:r>
      <w:r>
        <w:t xml:space="preserve"> </w:t>
      </w:r>
      <w:r>
        <w:rPr>
          <w:rStyle w:val="VerbatimChar"/>
        </w:rPr>
        <w:t xml:space="preserve">autoin.gbl</w:t>
      </w:r>
      <w:r>
        <w:t xml:space="preserve"> </w:t>
      </w:r>
      <w:r>
        <w:t xml:space="preserve">только ради формирования</w:t>
      </w:r>
      <w:r>
        <w:t xml:space="preserve"> </w:t>
      </w:r>
      <w:r>
        <w:rPr>
          <w:rStyle w:val="VerbatimChar"/>
        </w:rPr>
        <w:t xml:space="preserve">907</w:t>
      </w:r>
      <w:r>
        <w:t xml:space="preserve"> </w:t>
      </w:r>
      <w:r>
        <w:t xml:space="preserve">не требуется: типовой</w:t>
      </w:r>
      <w:r>
        <w:t xml:space="preserve"> </w:t>
      </w:r>
      <w:r>
        <w:rPr>
          <w:rStyle w:val="VerbatimChar"/>
        </w:rPr>
        <w:t xml:space="preserve">autoin_light.gbl</w:t>
      </w:r>
      <w:r>
        <w:t xml:space="preserve"> </w:t>
      </w:r>
      <w:r>
        <w:t xml:space="preserve">уже содержит эту обработку.</w:t>
      </w:r>
    </w:p>
    <w:bookmarkEnd w:id="11"/>
    <w:bookmarkStart w:id="12" w:name="комплект-datai-2025-d1d2"/>
    <w:p>
      <w:pPr>
        <w:pStyle w:val="Heading2"/>
      </w:pPr>
      <w:r>
        <w:t xml:space="preserve">4. Комплект datai 2025 D1/D2</w:t>
      </w:r>
    </w:p>
    <w:p>
      <w:pPr>
        <w:pStyle w:val="FirstParagraph"/>
      </w:pPr>
      <w:r>
        <w:t xml:space="preserve">Подкаталог</w:t>
      </w:r>
      <w:r>
        <w:t xml:space="preserve"> </w:t>
      </w:r>
      <w:r>
        <w:rPr>
          <w:rStyle w:val="VerbatimChar"/>
        </w:rPr>
        <w:t xml:space="preserve">modules/i128f/Distr/datai</w:t>
      </w:r>
      <w:r>
        <w:t xml:space="preserve"> </w:t>
      </w:r>
      <w:r>
        <w:t xml:space="preserve">содержит технологическое обеспечение ИРБИС64 из поставок 2025 D1 и 2025 D2. Это не пользовательская документация, а набор файлов, который мастер установки использует как источник для серверной папки</w:t>
      </w:r>
      <w:r>
        <w:t xml:space="preserve"> </w:t>
      </w:r>
      <w:r>
        <w:rPr>
          <w:rStyle w:val="VerbatimChar"/>
        </w:rPr>
        <w:t xml:space="preserve">datai</w:t>
      </w:r>
      <w:r>
        <w:t xml:space="preserve">.</w:t>
      </w:r>
    </w:p>
    <w:p>
      <w:pPr>
        <w:pStyle w:val="BodyText"/>
      </w:pPr>
      <w:r>
        <w:t xml:space="preserve">В комплект входят:</w:t>
      </w:r>
    </w:p>
    <w:p>
      <w:pPr>
        <w:pStyle w:val="Compact"/>
        <w:numPr>
          <w:ilvl w:val="0"/>
          <w:numId w:val="1002"/>
        </w:numPr>
      </w:pPr>
      <w:r>
        <w:rPr>
          <w:rStyle w:val="VerbatimChar"/>
        </w:rPr>
        <w:t xml:space="preserve">.par</w:t>
      </w:r>
      <w:r>
        <w:t xml:space="preserve">-файлы и каталоги типовых баз, в том числе</w:t>
      </w:r>
      <w:r>
        <w:t xml:space="preserve"> </w:t>
      </w:r>
      <w:r>
        <w:rPr>
          <w:rStyle w:val="VerbatimChar"/>
        </w:rPr>
        <w:t xml:space="preserve">ibis</w:t>
      </w:r>
      <w:r>
        <w:t xml:space="preserve">,</w:t>
      </w:r>
      <w:r>
        <w:t xml:space="preserve"> </w:t>
      </w:r>
      <w:r>
        <w:rPr>
          <w:rStyle w:val="VerbatimChar"/>
        </w:rPr>
        <w:t xml:space="preserve">rdr</w:t>
      </w:r>
      <w:r>
        <w:t xml:space="preserve">,</w:t>
      </w:r>
      <w:r>
        <w:t xml:space="preserve"> </w:t>
      </w:r>
      <w:r>
        <w:rPr>
          <w:rStyle w:val="VerbatimChar"/>
        </w:rPr>
        <w:t xml:space="preserve">rqst</w:t>
      </w:r>
      <w:r>
        <w:t xml:space="preserve">,</w:t>
      </w:r>
      <w:r>
        <w:t xml:space="preserve"> </w:t>
      </w:r>
      <w:r>
        <w:rPr>
          <w:rStyle w:val="VerbatimChar"/>
        </w:rPr>
        <w:t xml:space="preserve">deposit</w:t>
      </w:r>
      <w:r>
        <w:t xml:space="preserve">,</w:t>
      </w:r>
      <w:r>
        <w:t xml:space="preserve"> </w:t>
      </w:r>
      <w:r>
        <w:rPr>
          <w:rStyle w:val="VerbatimChar"/>
        </w:rPr>
        <w:t xml:space="preserve">i128f</w:t>
      </w:r>
      <w:r>
        <w:t xml:space="preserve">,</w:t>
      </w:r>
      <w:r>
        <w:t xml:space="preserve"> </w:t>
      </w:r>
      <w:r>
        <w:rPr>
          <w:rStyle w:val="VerbatimChar"/>
        </w:rPr>
        <w:t xml:space="preserve">help</w:t>
      </w:r>
      <w:r>
        <w:t xml:space="preserve">;</w:t>
      </w:r>
    </w:p>
    <w:p>
      <w:pPr>
        <w:pStyle w:val="Compact"/>
        <w:numPr>
          <w:ilvl w:val="0"/>
          <w:numId w:val="1002"/>
        </w:numPr>
      </w:pPr>
      <w:r>
        <w:t xml:space="preserve">базы</w:t>
      </w:r>
      <w:r>
        <w:t xml:space="preserve"> </w:t>
      </w:r>
      <w:r>
        <w:rPr>
          <w:rStyle w:val="VerbatimChar"/>
        </w:rPr>
        <w:t xml:space="preserve">IBIS</w:t>
      </w:r>
      <w:r>
        <w:t xml:space="preserve">,</w:t>
      </w:r>
      <w:r>
        <w:t xml:space="preserve"> </w:t>
      </w:r>
      <w:r>
        <w:rPr>
          <w:rStyle w:val="VerbatimChar"/>
        </w:rPr>
        <w:t xml:space="preserve">DEPOSIT</w:t>
      </w:r>
      <w:r>
        <w:t xml:space="preserve">,</w:t>
      </w:r>
      <w:r>
        <w:t xml:space="preserve"> </w:t>
      </w:r>
      <w:r>
        <w:rPr>
          <w:rStyle w:val="VerbatimChar"/>
        </w:rPr>
        <w:t xml:space="preserve">RDR</w:t>
      </w:r>
      <w:r>
        <w:t xml:space="preserve">,</w:t>
      </w:r>
      <w:r>
        <w:t xml:space="preserve"> </w:t>
      </w:r>
      <w:r>
        <w:rPr>
          <w:rStyle w:val="VerbatimChar"/>
        </w:rPr>
        <w:t xml:space="preserve">RDRV</w:t>
      </w:r>
      <w:r>
        <w:t xml:space="preserve">,</w:t>
      </w:r>
      <w:r>
        <w:t xml:space="preserve"> </w:t>
      </w:r>
      <w:r>
        <w:rPr>
          <w:rStyle w:val="VerbatimChar"/>
        </w:rPr>
        <w:t xml:space="preserve">RDRT</w:t>
      </w:r>
      <w:r>
        <w:t xml:space="preserve">,</w:t>
      </w:r>
      <w:r>
        <w:t xml:space="preserve"> </w:t>
      </w:r>
      <w:r>
        <w:rPr>
          <w:rStyle w:val="VerbatimChar"/>
        </w:rPr>
        <w:t xml:space="preserve">SK</w:t>
      </w:r>
      <w:r>
        <w:t xml:space="preserve">,</w:t>
      </w:r>
      <w:r>
        <w:t xml:space="preserve"> </w:t>
      </w:r>
      <w:r>
        <w:rPr>
          <w:rStyle w:val="VerbatimChar"/>
        </w:rPr>
        <w:t xml:space="preserve">VUZ</w:t>
      </w:r>
      <w:r>
        <w:t xml:space="preserve">,</w:t>
      </w:r>
      <w:r>
        <w:t xml:space="preserve"> </w:t>
      </w:r>
      <w:r>
        <w:rPr>
          <w:rStyle w:val="VerbatimChar"/>
        </w:rPr>
        <w:t xml:space="preserve">VKR</w:t>
      </w:r>
      <w:r>
        <w:t xml:space="preserve">,</w:t>
      </w:r>
      <w:r>
        <w:t xml:space="preserve"> </w:t>
      </w:r>
      <w:r>
        <w:rPr>
          <w:rStyle w:val="VerbatimChar"/>
        </w:rPr>
        <w:t xml:space="preserve">ESVODT</w:t>
      </w:r>
      <w:r>
        <w:t xml:space="preserve"> </w:t>
      </w:r>
      <w:r>
        <w:t xml:space="preserve">и служебные базы ИРБИС 128;</w:t>
      </w:r>
    </w:p>
    <w:p>
      <w:pPr>
        <w:pStyle w:val="Compact"/>
        <w:numPr>
          <w:ilvl w:val="0"/>
          <w:numId w:val="1002"/>
        </w:numPr>
      </w:pPr>
      <w:r>
        <w:t xml:space="preserve">авторитетные базы</w:t>
      </w:r>
      <w:r>
        <w:t xml:space="preserve"> </w:t>
      </w:r>
      <w:r>
        <w:rPr>
          <w:rStyle w:val="VerbatimChar"/>
        </w:rPr>
        <w:t xml:space="preserve">athra</w:t>
      </w:r>
      <w:r>
        <w:t xml:space="preserve">,</w:t>
      </w:r>
      <w:r>
        <w:t xml:space="preserve"> </w:t>
      </w:r>
      <w:r>
        <w:rPr>
          <w:rStyle w:val="VerbatimChar"/>
        </w:rPr>
        <w:t xml:space="preserve">athrb</w:t>
      </w:r>
      <w:r>
        <w:t xml:space="preserve">,</w:t>
      </w:r>
      <w:r>
        <w:t xml:space="preserve"> </w:t>
      </w:r>
      <w:r>
        <w:rPr>
          <w:rStyle w:val="VerbatimChar"/>
        </w:rPr>
        <w:t xml:space="preserve">athrc</w:t>
      </w:r>
      <w:r>
        <w:t xml:space="preserve">,</w:t>
      </w:r>
      <w:r>
        <w:t xml:space="preserve"> </w:t>
      </w:r>
      <w:r>
        <w:rPr>
          <w:rStyle w:val="VerbatimChar"/>
        </w:rPr>
        <w:t xml:space="preserve">athrg</w:t>
      </w:r>
      <w:r>
        <w:t xml:space="preserve">,</w:t>
      </w:r>
      <w:r>
        <w:t xml:space="preserve"> </w:t>
      </w:r>
      <w:r>
        <w:rPr>
          <w:rStyle w:val="VerbatimChar"/>
        </w:rPr>
        <w:t xml:space="preserve">athrs</w:t>
      </w:r>
      <w:r>
        <w:t xml:space="preserve">,</w:t>
      </w:r>
      <w:r>
        <w:t xml:space="preserve"> </w:t>
      </w:r>
      <w:r>
        <w:rPr>
          <w:rStyle w:val="VerbatimChar"/>
        </w:rPr>
        <w:t xml:space="preserve">athru</w:t>
      </w:r>
      <w:r>
        <w:t xml:space="preserve">;</w:t>
      </w:r>
    </w:p>
    <w:p>
      <w:pPr>
        <w:pStyle w:val="Compact"/>
        <w:numPr>
          <w:ilvl w:val="0"/>
          <w:numId w:val="1002"/>
        </w:numPr>
      </w:pPr>
      <w:r>
        <w:t xml:space="preserve">рабочие листы, форматы, меню, FST, PFT, справочники, начальные записи, индексные файлы и другие служебные файлы, которые нужны серверу ИРБИС64 и приложениям ИРБИС 128;</w:t>
      </w:r>
    </w:p>
    <w:p>
      <w:pPr>
        <w:pStyle w:val="Compact"/>
        <w:numPr>
          <w:ilvl w:val="0"/>
          <w:numId w:val="1002"/>
        </w:numPr>
      </w:pPr>
      <w:r>
        <w:t xml:space="preserve">общие таблицы и настройки, используемые при создании и обслуживании баз.</w:t>
      </w:r>
    </w:p>
    <w:p>
      <w:pPr>
        <w:pStyle w:val="FirstParagraph"/>
      </w:pPr>
      <w:r>
        <w:t xml:space="preserve">При установке локального серверного окружения мастер копирует содержимое</w:t>
      </w:r>
      <w:r>
        <w:t xml:space="preserve"> </w:t>
      </w:r>
      <w:r>
        <w:rPr>
          <w:rStyle w:val="VerbatimChar"/>
        </w:rPr>
        <w:t xml:space="preserve">modules/i128f/Distr/datai</w:t>
      </w:r>
      <w:r>
        <w:t xml:space="preserve"> </w:t>
      </w:r>
      <w:r>
        <w:t xml:space="preserve">в каталог</w:t>
      </w:r>
      <w:r>
        <w:t xml:space="preserve"> </w:t>
      </w:r>
      <w:r>
        <w:rPr>
          <w:rStyle w:val="VerbatimChar"/>
        </w:rPr>
        <w:t xml:space="preserve">&lt;путь к серверу ИРБИС64&gt;/datai</w:t>
      </w:r>
      <w:r>
        <w:t xml:space="preserve">. После этого</w:t>
      </w:r>
      <w:r>
        <w:t xml:space="preserve"> </w:t>
      </w:r>
      <w:r>
        <w:rPr>
          <w:rStyle w:val="VerbatimChar"/>
        </w:rPr>
        <w:t xml:space="preserve">irbis_server.ini</w:t>
      </w:r>
      <w:r>
        <w:t xml:space="preserve"> </w:t>
      </w:r>
      <w:r>
        <w:t xml:space="preserve">получает пути</w:t>
      </w:r>
      <w:r>
        <w:t xml:space="preserve"> </w:t>
      </w:r>
      <w:r>
        <w:rPr>
          <w:rStyle w:val="VerbatimChar"/>
        </w:rPr>
        <w:t xml:space="preserve">DATAPATH</w:t>
      </w:r>
      <w:r>
        <w:t xml:space="preserve">,</w:t>
      </w:r>
      <w:r>
        <w:t xml:space="preserve"> </w:t>
      </w:r>
      <w:r>
        <w:rPr>
          <w:rStyle w:val="VerbatimChar"/>
        </w:rPr>
        <w:t xml:space="preserve">WORKDIR</w:t>
      </w:r>
      <w:r>
        <w:t xml:space="preserve">,</w:t>
      </w:r>
      <w:r>
        <w:t xml:space="preserve"> </w:t>
      </w:r>
      <w:r>
        <w:rPr>
          <w:rStyle w:val="VerbatimChar"/>
        </w:rPr>
        <w:t xml:space="preserve">ACTABPATH</w:t>
      </w:r>
      <w:r>
        <w:t xml:space="preserve"> </w:t>
      </w:r>
      <w:r>
        <w:t xml:space="preserve">и</w:t>
      </w:r>
      <w:r>
        <w:t xml:space="preserve"> </w:t>
      </w:r>
      <w:r>
        <w:rPr>
          <w:rStyle w:val="VerbatimChar"/>
        </w:rPr>
        <w:t xml:space="preserve">UCTABPATH</w:t>
      </w:r>
      <w:r>
        <w:t xml:space="preserve">, указывающие на созданную серверную структуру.</w:t>
      </w:r>
    </w:p>
    <w:p>
      <w:pPr>
        <w:pStyle w:val="BodyText"/>
      </w:pPr>
      <w:r>
        <w:t xml:space="preserve">Значения по умолчанию для баз авторитетных файлов задаются в</w:t>
      </w:r>
      <w:r>
        <w:t xml:space="preserve"> </w:t>
      </w:r>
      <w:r>
        <w:rPr>
          <w:rStyle w:val="VerbatimChar"/>
        </w:rPr>
        <w:t xml:space="preserve">config.php</w:t>
      </w:r>
      <w:r>
        <w:t xml:space="preserve"> </w:t>
      </w:r>
      <w:r>
        <w:t xml:space="preserve">и в системных настройках</w:t>
      </w:r>
      <w:r>
        <w:t xml:space="preserve"> </w:t>
      </w:r>
      <w:r>
        <w:rPr>
          <w:rStyle w:val="VerbatimChar"/>
        </w:rPr>
        <w:t xml:space="preserve">$OPTIONS</w:t>
      </w:r>
      <w:r>
        <w:t xml:space="preserve">:</w:t>
      </w:r>
      <w:r>
        <w:t xml:space="preserve"> </w:t>
      </w:r>
      <w:r>
        <w:rPr>
          <w:rStyle w:val="VerbatimChar"/>
        </w:rPr>
        <w:t xml:space="preserve">DBATHRA = ATHRA</w:t>
      </w:r>
      <w:r>
        <w:t xml:space="preserve">,</w:t>
      </w:r>
      <w:r>
        <w:t xml:space="preserve"> </w:t>
      </w:r>
      <w:r>
        <w:rPr>
          <w:rStyle w:val="VerbatimChar"/>
        </w:rPr>
        <w:t xml:space="preserve">DBATHRC = ATHRC</w:t>
      </w:r>
      <w:r>
        <w:t xml:space="preserve"> </w:t>
      </w:r>
      <w:r>
        <w:t xml:space="preserve">и остальные</w:t>
      </w:r>
      <w:r>
        <w:t xml:space="preserve"> </w:t>
      </w:r>
      <w:r>
        <w:rPr>
          <w:rStyle w:val="VerbatimChar"/>
        </w:rPr>
        <w:t xml:space="preserve">DBATHR*</w:t>
      </w:r>
      <w:r>
        <w:t xml:space="preserve">. Эти значения должны соответствовать базам, которые присутствуют в скопированном комплекте</w:t>
      </w:r>
      <w:r>
        <w:t xml:space="preserve"> </w:t>
      </w:r>
      <w:r>
        <w:rPr>
          <w:rStyle w:val="VerbatimChar"/>
        </w:rPr>
        <w:t xml:space="preserve">datai</w:t>
      </w:r>
      <w:r>
        <w:t xml:space="preserve">.</w:t>
      </w:r>
    </w:p>
    <w:bookmarkEnd w:id="12"/>
    <w:bookmarkStart w:id="13" w:name="как-использовать"/>
    <w:p>
      <w:pPr>
        <w:pStyle w:val="Heading2"/>
      </w:pPr>
      <w:r>
        <w:t xml:space="preserve">5. Как использовать</w:t>
      </w:r>
    </w:p>
    <w:p>
      <w:pPr>
        <w:pStyle w:val="FirstParagraph"/>
      </w:pPr>
      <w:r>
        <w:rPr>
          <w:rStyle w:val="VerbatimChar"/>
        </w:rPr>
        <w:t xml:space="preserve">Distr</w:t>
      </w:r>
      <w:r>
        <w:t xml:space="preserve"> </w:t>
      </w:r>
      <w:r>
        <w:t xml:space="preserve">не является рабочим Help-разделом и не должен редактироваться как пользовательская справка ИРБИС 128. Файлы из него используются как источник для установки, обновления и восстановления типовых компонентов.</w:t>
      </w:r>
    </w:p>
    <w:p>
      <w:pPr>
        <w:pStyle w:val="BodyText"/>
      </w:pPr>
      <w:r>
        <w:t xml:space="preserve">При документировании пользовательских сценариев нужно ссылаться на актуальные Help-разделы ИРБИС 128. Документы внутри</w:t>
      </w:r>
      <w:r>
        <w:t xml:space="preserve"> </w:t>
      </w:r>
      <w:r>
        <w:rPr>
          <w:rStyle w:val="VerbatimChar"/>
        </w:rPr>
        <w:t xml:space="preserve">Distr</w:t>
      </w:r>
      <w:r>
        <w:t xml:space="preserve"> </w:t>
      </w:r>
      <w:r>
        <w:t xml:space="preserve">остаются материалами поставки ИРБИС64 и используются для сверки технических деталей при необходимости.</w:t>
      </w:r>
    </w:p>
    <w:p>
      <w:pPr>
        <w:pStyle w:val="BodyText"/>
      </w:pPr>
      <w:r>
        <w:t xml:space="preserve">Для Windows-компонентов, которым требуется преобразование результата из RTF в HTML, актуальной утилитой является</w:t>
      </w:r>
      <w:r>
        <w:t xml:space="preserve"> </w:t>
      </w:r>
      <w:r>
        <w:rPr>
          <w:rStyle w:val="VerbatimChar"/>
        </w:rPr>
        <w:t xml:space="preserve">unrtf</w:t>
      </w:r>
      <w:r>
        <w:t xml:space="preserve">. Ранее использовавшийся</w:t>
      </w:r>
      <w:r>
        <w:t xml:space="preserve"> </w:t>
      </w:r>
      <w:r>
        <w:rPr>
          <w:rStyle w:val="VerbatimChar"/>
        </w:rPr>
        <w:t xml:space="preserve">DocConverter</w:t>
      </w:r>
      <w:r>
        <w:t xml:space="preserve"> </w:t>
      </w:r>
      <w:r>
        <w:t xml:space="preserve">считается устаревшей внешней зависимостью и не должен требоваться для штатного преобразования RTF-документов в HTML. Сценарий запуска</w:t>
      </w:r>
      <w:r>
        <w:t xml:space="preserve"> </w:t>
      </w:r>
      <w:r>
        <w:rPr>
          <w:rStyle w:val="VerbatimChar"/>
        </w:rPr>
        <w:t xml:space="preserve">unrtf</w:t>
      </w:r>
      <w:r>
        <w:t xml:space="preserve"> </w:t>
      </w:r>
      <w:r>
        <w:t xml:space="preserve">используется для сохранения результата, который сама утилита выводит в консоль, а файл конфигурации HTML-конвертации задает правила преобразования.</w:t>
      </w:r>
    </w:p>
    <w:bookmarkEnd w:id="13"/>
    <w:bookmarkStart w:id="14" w:name="ограничения"/>
    <w:p>
      <w:pPr>
        <w:pStyle w:val="Heading2"/>
      </w:pPr>
      <w:r>
        <w:t xml:space="preserve">6. Ограничения</w:t>
      </w:r>
    </w:p>
    <w:p>
      <w:pPr>
        <w:pStyle w:val="Compact"/>
        <w:numPr>
          <w:ilvl w:val="0"/>
          <w:numId w:val="1003"/>
        </w:numPr>
      </w:pPr>
      <w:r>
        <w:t xml:space="preserve">не переносить весь каталог</w:t>
      </w:r>
      <w:r>
        <w:t xml:space="preserve"> </w:t>
      </w:r>
      <w:r>
        <w:rPr>
          <w:rStyle w:val="VerbatimChar"/>
        </w:rPr>
        <w:t xml:space="preserve">Distr</w:t>
      </w:r>
      <w:r>
        <w:t xml:space="preserve"> </w:t>
      </w:r>
      <w:r>
        <w:t xml:space="preserve">в Help автоматически;</w:t>
      </w:r>
    </w:p>
    <w:p>
      <w:pPr>
        <w:pStyle w:val="Compact"/>
        <w:numPr>
          <w:ilvl w:val="0"/>
          <w:numId w:val="1003"/>
        </w:numPr>
      </w:pPr>
      <w:r>
        <w:t xml:space="preserve">не включать бинарные файлы и большие документы в DOCX-дерево Help;</w:t>
      </w:r>
    </w:p>
    <w:p>
      <w:pPr>
        <w:pStyle w:val="Compact"/>
        <w:numPr>
          <w:ilvl w:val="0"/>
          <w:numId w:val="1003"/>
        </w:numPr>
      </w:pPr>
      <w:r>
        <w:t xml:space="preserve">при миграции отдельных документов сначала конвертировать их во временный Markdown и вычитывать вручную;</w:t>
      </w:r>
    </w:p>
    <w:p>
      <w:pPr>
        <w:pStyle w:val="Compact"/>
        <w:numPr>
          <w:ilvl w:val="0"/>
          <w:numId w:val="1003"/>
        </w:numPr>
      </w:pPr>
      <w:r>
        <w:t xml:space="preserve">не смешивать справку ИРБИС 128 с исходными инструкциями сторонней поставки без явной редакторской адаптации.</w:t>
      </w:r>
    </w:p>
    <w:bookmarkEnd w:id="14"/>
    <w:bookmarkStart w:id="19" w:name="rfid-uni-в-linux-армах-ирбис64"/>
    <w:p>
      <w:pPr>
        <w:pStyle w:val="Heading2"/>
      </w:pPr>
      <w:r>
        <w:t xml:space="preserve">RFID UNI в Linux-АРМах ИРБИС64</w:t>
      </w:r>
    </w:p>
    <w:p>
      <w:pPr>
        <w:pStyle w:val="FirstParagraph"/>
      </w:pPr>
      <w:r>
        <w:t xml:space="preserve">Универсальный RFID-протокол используется в Linux-версиях клиентских АРМов ИРБИС64, когда рабочее место общается с RFID-оборудованием через локальное или сетевое ПО поставщика. Для этого режима в клиентском INI задается</w:t>
      </w:r>
      <w:r>
        <w:t xml:space="preserve"> </w:t>
      </w:r>
      <w:r>
        <w:rPr>
          <w:rStyle w:val="VerbatimChar"/>
        </w:rPr>
        <w:t xml:space="preserve">RFIDTYPE=4</w:t>
      </w:r>
      <w:r>
        <w:t xml:space="preserve">.</w:t>
      </w:r>
    </w:p>
    <w:p>
      <w:pPr>
        <w:pStyle w:val="BodyText"/>
      </w:pPr>
      <w:r>
        <w:t xml:space="preserve">Режим полезен для оборудования и промежуточного ПО ID Logic и Bibliotheca. Он позволяет Linux-клиентам работать с RFID на том же сервере ИРБИС64, где могут оставаться рабочие места Windows с собственными настройками.</w:t>
      </w:r>
    </w:p>
    <w:bookmarkStart w:id="15" w:name="где-включать"/>
    <w:p>
      <w:pPr>
        <w:pStyle w:val="Heading3"/>
      </w:pPr>
      <w:r>
        <w:t xml:space="preserve">1. Где включать</w:t>
      </w:r>
    </w:p>
    <w:p>
      <w:pPr>
        <w:pStyle w:val="FirstParagraph"/>
      </w:pPr>
      <w:r>
        <w:t xml:space="preserve">RFID включается в INI-файле соответствующего клиентского АРМа. Для АРМ «Книговыдача» типовой файл поставки называется</w:t>
      </w:r>
      <w:r>
        <w:t xml:space="preserve"> </w:t>
      </w:r>
      <w:r>
        <w:rPr>
          <w:rStyle w:val="VerbatimChar"/>
        </w:rPr>
        <w:t xml:space="preserve">irbisb.ini</w:t>
      </w:r>
      <w:r>
        <w:t xml:space="preserve">. В поставке ИРБИС 128 пример находится в</w:t>
      </w:r>
      <w:r>
        <w:t xml:space="preserve"> </w:t>
      </w:r>
      <w:r>
        <w:rPr>
          <w:rStyle w:val="VerbatimChar"/>
        </w:rPr>
        <w:t xml:space="preserve">modules/i128f/Distr/nix/server64-turbo/irbisb.ini</w:t>
      </w:r>
      <w:r>
        <w:t xml:space="preserve">; аналогичная заготовка для серверного модуля находится в</w:t>
      </w:r>
      <w:r>
        <w:t xml:space="preserve"> </w:t>
      </w:r>
      <w:r>
        <w:rPr>
          <w:rStyle w:val="VerbatimChar"/>
        </w:rPr>
        <w:t xml:space="preserve">modules/Server64/ARMsConfig/irbisb.ini</w:t>
      </w:r>
      <w:r>
        <w:t xml:space="preserve">.</w:t>
      </w:r>
    </w:p>
    <w:p>
      <w:pPr>
        <w:pStyle w:val="BodyText"/>
      </w:pPr>
      <w:r>
        <w:t xml:space="preserve">Минимальный фрагмент настройки:</w:t>
      </w:r>
    </w:p>
    <w:p>
      <w:pPr>
        <w:pStyle w:val="SourceCode"/>
      </w:pPr>
      <w:r>
        <w:rPr>
          <w:rStyle w:val="DataTypeTok"/>
        </w:rPr>
        <w:t xml:space="preserve">PRRFID</w:t>
      </w:r>
      <w:r>
        <w:rPr>
          <w:rStyle w:val="OtherTok"/>
        </w:rPr>
        <w:t xml:space="preserve">=</w:t>
      </w:r>
      <w:r>
        <w:rPr>
          <w:rStyle w:val="DecValTok"/>
        </w:rPr>
        <w:t xml:space="preserve">1</w:t>
      </w:r>
      <w:r>
        <w:br/>
      </w:r>
      <w:r>
        <w:rPr>
          <w:rStyle w:val="DataTypeTok"/>
        </w:rPr>
        <w:t xml:space="preserve">RFIDTYPE</w:t>
      </w:r>
      <w:r>
        <w:rPr>
          <w:rStyle w:val="OtherTok"/>
        </w:rPr>
        <w:t xml:space="preserve">=</w:t>
      </w:r>
      <w:r>
        <w:rPr>
          <w:rStyle w:val="DecValTok"/>
        </w:rPr>
        <w:t xml:space="preserve">4</w:t>
      </w:r>
      <w:r>
        <w:br/>
      </w:r>
      <w:r>
        <w:rPr>
          <w:rStyle w:val="DataTypeTok"/>
        </w:rPr>
        <w:t xml:space="preserve">RFID_UNI_INTERVAL</w:t>
      </w:r>
      <w:r>
        <w:rPr>
          <w:rStyle w:val="OtherTok"/>
        </w:rPr>
        <w:t xml:space="preserve">=</w:t>
      </w:r>
      <w:r>
        <w:rPr>
          <w:rStyle w:val="DecValTok"/>
        </w:rPr>
        <w:t xml:space="preserve">500</w:t>
      </w:r>
      <w:r>
        <w:br/>
      </w:r>
      <w:r>
        <w:rPr>
          <w:rStyle w:val="DataTypeTok"/>
        </w:rPr>
        <w:t xml:space="preserve">RFID_UNI_UID</w:t>
      </w:r>
      <w:r>
        <w:rPr>
          <w:rStyle w:val="OtherTok"/>
        </w:rPr>
        <w:t xml:space="preserve">=</w:t>
      </w:r>
      <w:r>
        <w:rPr>
          <w:rStyle w:val="DecValTok"/>
        </w:rPr>
        <w:t xml:space="preserve">1</w:t>
      </w:r>
      <w:r>
        <w:br/>
      </w:r>
      <w:r>
        <w:rPr>
          <w:rStyle w:val="DataTypeTok"/>
        </w:rPr>
        <w:t xml:space="preserve">RFID_UNI_ADDRESS</w:t>
      </w:r>
      <w:r>
        <w:rPr>
          <w:rStyle w:val="OtherTok"/>
        </w:rPr>
        <w:t xml:space="preserve">=</w:t>
      </w:r>
      <w:r>
        <w:rPr>
          <w:rStyle w:val="StringTok"/>
        </w:rPr>
        <w:t xml:space="preserve">127.0.0.1</w:t>
      </w:r>
      <w:r>
        <w:br/>
      </w:r>
      <w:r>
        <w:rPr>
          <w:rStyle w:val="DataTypeTok"/>
        </w:rPr>
        <w:t xml:space="preserve">RFID_UNI_PORT</w:t>
      </w:r>
      <w:r>
        <w:rPr>
          <w:rStyle w:val="OtherTok"/>
        </w:rPr>
        <w:t xml:space="preserve">=</w:t>
      </w:r>
      <w:r>
        <w:rPr>
          <w:rStyle w:val="DecValTok"/>
        </w:rPr>
        <w:t xml:space="preserve">6001</w:t>
      </w:r>
      <w:r>
        <w:br/>
      </w:r>
      <w:r>
        <w:rPr>
          <w:rStyle w:val="DataTypeTok"/>
        </w:rPr>
        <w:t xml:space="preserve">ConfirmMultiRFID</w:t>
      </w:r>
      <w:r>
        <w:rPr>
          <w:rStyle w:val="OtherTok"/>
        </w:rPr>
        <w:t xml:space="preserve">=</w:t>
      </w:r>
      <w:r>
        <w:rPr>
          <w:rStyle w:val="DecValTok"/>
        </w:rPr>
        <w:t xml:space="preserve">1</w:t>
      </w:r>
    </w:p>
    <w:p>
      <w:pPr>
        <w:pStyle w:val="FirstParagraph"/>
      </w:pPr>
      <w:r>
        <w:t xml:space="preserve">Если RFID-сервис поставщика запущен на том же рабочем месте, оставьте</w:t>
      </w:r>
      <w:r>
        <w:t xml:space="preserve"> </w:t>
      </w:r>
      <w:r>
        <w:rPr>
          <w:rStyle w:val="VerbatimChar"/>
        </w:rPr>
        <w:t xml:space="preserve">RFID_UNI_ADDRESS=127.0.0.1</w:t>
      </w:r>
      <w:r>
        <w:t xml:space="preserve">. Если сервис работает на другом доступном узле, укажите его адрес и порт в</w:t>
      </w:r>
      <w:r>
        <w:t xml:space="preserve"> </w:t>
      </w:r>
      <w:r>
        <w:rPr>
          <w:rStyle w:val="VerbatimChar"/>
        </w:rPr>
        <w:t xml:space="preserve">RFID_UNI_ADDRESS</w:t>
      </w:r>
      <w:r>
        <w:t xml:space="preserve"> </w:t>
      </w:r>
      <w:r>
        <w:t xml:space="preserve">и</w:t>
      </w:r>
      <w:r>
        <w:t xml:space="preserve"> </w:t>
      </w:r>
      <w:r>
        <w:rPr>
          <w:rStyle w:val="VerbatimChar"/>
        </w:rPr>
        <w:t xml:space="preserve">RFID_UNI_PORT</w:t>
      </w:r>
      <w:r>
        <w:t xml:space="preserve">.</w:t>
      </w:r>
    </w:p>
    <w:bookmarkEnd w:id="15"/>
    <w:bookmarkStart w:id="16" w:name="основные-параметры"/>
    <w:p>
      <w:pPr>
        <w:pStyle w:val="Heading3"/>
      </w:pPr>
      <w:r>
        <w:t xml:space="preserve">2. Основные параметры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Параметр</w:t>
            </w:r>
          </w:p>
        </w:tc>
        <w:tc>
          <w:tcPr/>
          <w:p>
            <w:pPr>
              <w:pStyle w:val="Compact"/>
            </w:pPr>
            <w:r>
              <w:t xml:space="preserve">Назначение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PRRFID</w:t>
            </w:r>
          </w:p>
        </w:tc>
        <w:tc>
          <w:tcPr/>
          <w:p>
            <w:pPr>
              <w:pStyle w:val="Compact"/>
            </w:pPr>
            <w:r>
              <w:t xml:space="preserve">Включает работу с RFID-метками в клиентском АРМе. Для включенного сценария задайте</w:t>
            </w:r>
            <w:r>
              <w:t xml:space="preserve"> </w:t>
            </w:r>
            <w:r>
              <w:rPr>
                <w:rStyle w:val="VerbatimChar"/>
              </w:rPr>
              <w:t xml:space="preserve">1</w:t>
            </w:r>
            <w:r>
              <w:t xml:space="preserve">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RFIDTYPE</w:t>
            </w:r>
          </w:p>
        </w:tc>
        <w:tc>
          <w:tcPr/>
          <w:p>
            <w:pPr>
              <w:pStyle w:val="Compact"/>
            </w:pPr>
            <w:r>
              <w:t xml:space="preserve">Выбирает тип RFID-оборудования. Значение</w:t>
            </w:r>
            <w:r>
              <w:t xml:space="preserve"> </w:t>
            </w:r>
            <w:r>
              <w:rPr>
                <w:rStyle w:val="VerbatimChar"/>
              </w:rPr>
              <w:t xml:space="preserve">4</w:t>
            </w:r>
            <w:r>
              <w:t xml:space="preserve"> </w:t>
            </w:r>
            <w:r>
              <w:t xml:space="preserve">включает универсальный RFID-протокол UNI.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RFID_UNI_INTERVAL</w:t>
            </w:r>
          </w:p>
        </w:tc>
        <w:tc>
          <w:tcPr/>
          <w:p>
            <w:pPr>
              <w:pStyle w:val="Compact"/>
            </w:pPr>
            <w:r>
              <w:t xml:space="preserve">Интервал обращения клиента к RFID-сервису в миллисекундах.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RFID_UNI_UID</w:t>
            </w:r>
          </w:p>
        </w:tc>
        <w:tc>
          <w:tcPr/>
          <w:p>
            <w:pPr>
              <w:pStyle w:val="Compact"/>
            </w:pPr>
            <w:r>
              <w:t xml:space="preserve">Режим передачи идентификатора метки в универсальном протоколе. Значение должно соответствовать настройке ПО RFID-поставщика.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RFID_UNI_ADDRESS</w:t>
            </w:r>
          </w:p>
        </w:tc>
        <w:tc>
          <w:tcPr/>
          <w:p>
            <w:pPr>
              <w:pStyle w:val="Compact"/>
            </w:pPr>
            <w:r>
              <w:t xml:space="preserve">Адрес RFID-сервиса, с которым общается клиентский АРМ.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RFID_UNI_PORT</w:t>
            </w:r>
          </w:p>
        </w:tc>
        <w:tc>
          <w:tcPr/>
          <w:p>
            <w:pPr>
              <w:pStyle w:val="Compact"/>
            </w:pPr>
            <w:r>
              <w:t xml:space="preserve">TCP-порт RFID-сервиса. В типовой поставке используется</w:t>
            </w:r>
            <w:r>
              <w:t xml:space="preserve"> </w:t>
            </w:r>
            <w:r>
              <w:rPr>
                <w:rStyle w:val="VerbatimChar"/>
              </w:rPr>
              <w:t xml:space="preserve">6001</w:t>
            </w:r>
            <w:r>
              <w:t xml:space="preserve">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ConfirmMultiRFID</w:t>
            </w:r>
          </w:p>
        </w:tc>
        <w:tc>
          <w:tcPr/>
          <w:p>
            <w:pPr>
              <w:pStyle w:val="Compact"/>
            </w:pPr>
            <w:r>
              <w:t xml:space="preserve">Управляет подтверждением при чтении нескольких RFID-меток.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AUTOIN_RFID_BARCODE</w:t>
            </w:r>
          </w:p>
        </w:tc>
        <w:tc>
          <w:tcPr/>
          <w:p>
            <w:pPr>
              <w:pStyle w:val="Compact"/>
            </w:pPr>
            <w:r>
              <w:t xml:space="preserve">Определяет, должен ли авто ввод учитывать RFID-метку как штрихкод.</w:t>
            </w:r>
          </w:p>
        </w:tc>
      </w:tr>
    </w:tbl>
    <w:bookmarkEnd w:id="16"/>
    <w:bookmarkStart w:id="17" w:name="условия-на-рабочем-месте"/>
    <w:p>
      <w:pPr>
        <w:pStyle w:val="Heading3"/>
      </w:pPr>
      <w:r>
        <w:t xml:space="preserve">3. Условия на рабочем месте</w:t>
      </w:r>
    </w:p>
    <w:p>
      <w:pPr>
        <w:pStyle w:val="FirstParagraph"/>
      </w:pPr>
      <w:r>
        <w:t xml:space="preserve">На каждом Linux-рабочем месте должны быть установлены драйверы RFID-оборудования и запущено ПО, которое поддерживает UNI-обмен. Для ID Logic или Bibliotheca проверьте, что их сервис принимает соединения на адресе и порту, указанных в</w:t>
      </w:r>
      <w:r>
        <w:t xml:space="preserve"> </w:t>
      </w:r>
      <w:r>
        <w:rPr>
          <w:rStyle w:val="VerbatimChar"/>
        </w:rPr>
        <w:t xml:space="preserve">RFID_UNI_ADDRESS</w:t>
      </w:r>
      <w:r>
        <w:t xml:space="preserve"> </w:t>
      </w:r>
      <w:r>
        <w:t xml:space="preserve">и</w:t>
      </w:r>
      <w:r>
        <w:t xml:space="preserve"> </w:t>
      </w:r>
      <w:r>
        <w:rPr>
          <w:rStyle w:val="VerbatimChar"/>
        </w:rPr>
        <w:t xml:space="preserve">RFID_UNI_PORT</w:t>
      </w:r>
      <w:r>
        <w:t xml:space="preserve">.</w:t>
      </w:r>
    </w:p>
    <w:p>
      <w:pPr>
        <w:pStyle w:val="BodyText"/>
      </w:pPr>
      <w:r>
        <w:t xml:space="preserve">Если клиентский АРМ открыт на одном компьютере, а RFID-сервис запущен на другом,</w:t>
      </w:r>
      <w:r>
        <w:t xml:space="preserve"> </w:t>
      </w:r>
      <w:r>
        <w:rPr>
          <w:rStyle w:val="VerbatimChar"/>
        </w:rPr>
        <w:t xml:space="preserve">127.0.0.1</w:t>
      </w:r>
      <w:r>
        <w:t xml:space="preserve"> </w:t>
      </w:r>
      <w:r>
        <w:t xml:space="preserve">будет указывать не на тот узел. В этом случае задайте сетевой адрес компьютера с RFID-сервисом и убедитесь, что порт доступен с рабочего места библиотекаря.</w:t>
      </w:r>
    </w:p>
    <w:bookmarkEnd w:id="17"/>
    <w:bookmarkStart w:id="18" w:name="проверка-настройки"/>
    <w:p>
      <w:pPr>
        <w:pStyle w:val="Heading3"/>
      </w:pPr>
      <w:r>
        <w:t xml:space="preserve">4. Проверка настройки</w:t>
      </w:r>
    </w:p>
    <w:p>
      <w:pPr>
        <w:pStyle w:val="FirstParagraph"/>
      </w:pPr>
      <w:r>
        <w:t xml:space="preserve">После изменения INI перезапустите клиентский АРМ и проверьте чтение одной RFID-метки. Если метка не читается:</w:t>
      </w:r>
    </w:p>
    <w:p>
      <w:pPr>
        <w:pStyle w:val="Compact"/>
        <w:numPr>
          <w:ilvl w:val="0"/>
          <w:numId w:val="1004"/>
        </w:numPr>
      </w:pPr>
      <w:r>
        <w:t xml:space="preserve">проверьте, что</w:t>
      </w:r>
      <w:r>
        <w:t xml:space="preserve"> </w:t>
      </w:r>
      <w:r>
        <w:rPr>
          <w:rStyle w:val="VerbatimChar"/>
        </w:rPr>
        <w:t xml:space="preserve">PRRFID=1</w:t>
      </w:r>
      <w:r>
        <w:t xml:space="preserve"> </w:t>
      </w:r>
      <w:r>
        <w:t xml:space="preserve">и</w:t>
      </w:r>
      <w:r>
        <w:t xml:space="preserve"> </w:t>
      </w:r>
      <w:r>
        <w:rPr>
          <w:rStyle w:val="VerbatimChar"/>
        </w:rPr>
        <w:t xml:space="preserve">RFIDTYPE=4</w:t>
      </w:r>
      <w:r>
        <w:t xml:space="preserve">;</w:t>
      </w:r>
    </w:p>
    <w:p>
      <w:pPr>
        <w:pStyle w:val="Compact"/>
        <w:numPr>
          <w:ilvl w:val="0"/>
          <w:numId w:val="1004"/>
        </w:numPr>
      </w:pPr>
      <w:r>
        <w:t xml:space="preserve">проверьте адрес и порт RFID-сервиса;</w:t>
      </w:r>
    </w:p>
    <w:p>
      <w:pPr>
        <w:pStyle w:val="Compact"/>
        <w:numPr>
          <w:ilvl w:val="0"/>
          <w:numId w:val="1004"/>
        </w:numPr>
      </w:pPr>
      <w:r>
        <w:t xml:space="preserve">убедитесь, что ПО ID Logic или Bibliotheca запущено и видит оборудование;</w:t>
      </w:r>
    </w:p>
    <w:p>
      <w:pPr>
        <w:pStyle w:val="Compact"/>
        <w:numPr>
          <w:ilvl w:val="0"/>
          <w:numId w:val="1004"/>
        </w:numPr>
      </w:pPr>
      <w:r>
        <w:t xml:space="preserve">сравните режим UID в клиентском INI и в настройках RFID-сервиса;</w:t>
      </w:r>
    </w:p>
    <w:p>
      <w:pPr>
        <w:pStyle w:val="Compact"/>
        <w:numPr>
          <w:ilvl w:val="0"/>
          <w:numId w:val="1004"/>
        </w:numPr>
      </w:pPr>
      <w:r>
        <w:t xml:space="preserve">при нескольких метках проверьте поведение</w:t>
      </w:r>
      <w:r>
        <w:t xml:space="preserve"> </w:t>
      </w:r>
      <w:r>
        <w:rPr>
          <w:rStyle w:val="VerbatimChar"/>
        </w:rPr>
        <w:t xml:space="preserve">ConfirmMultiRFID</w:t>
      </w:r>
      <w:r>
        <w:t xml:space="preserve">.</w:t>
      </w:r>
    </w:p>
    <w:p>
      <w:pPr>
        <w:pStyle w:val="FirstParagraph"/>
      </w:pPr>
      <w:r>
        <w:t xml:space="preserve">Если Linux-клиент не получает ответ от RFID-сервиса, сначала проверьте доступность сервиса с этого рабочего места. Такая ошибка обычно связана с адресом, портом, локальным firewall или несовпадением протокольных настроек между АРМом и ПО RFID-поставщика.</w:t>
      </w:r>
    </w:p>
    <w:bookmarkEnd w:id="18"/>
    <w:bookmarkEnd w:id="19"/>
    <w:bookmarkStart w:id="22" w:name="порционная-рассылка-e-mail"/>
    <w:p>
      <w:pPr>
        <w:pStyle w:val="Heading2"/>
      </w:pPr>
      <w:r>
        <w:t xml:space="preserve">Порционная рассылка E-mail</w:t>
      </w:r>
    </w:p>
    <w:p>
      <w:pPr>
        <w:pStyle w:val="FirstParagraph"/>
      </w:pPr>
      <w:r>
        <w:t xml:space="preserve">Порционная рассылка E-mail используется для массовой отправки писем, когда весь набор сообщений нельзя безопасно отправлять одним непрерывным потоком. Это важно при работе через внешние SMTP-серверы и почтовых провайдеров, которые могут ограничивать или блокировать слишком большую рассылку.</w:t>
      </w:r>
    </w:p>
    <w:p>
      <w:pPr>
        <w:pStyle w:val="BodyText"/>
      </w:pPr>
      <w:r>
        <w:t xml:space="preserve">Технология применяется в сценариях, где система отправляет много однотипных писем:</w:t>
      </w:r>
    </w:p>
    <w:p>
      <w:pPr>
        <w:pStyle w:val="Compact"/>
        <w:numPr>
          <w:ilvl w:val="0"/>
          <w:numId w:val="1005"/>
        </w:numPr>
      </w:pPr>
      <w:r>
        <w:t xml:space="preserve">уведомления читателям из АРМ «Книговыдача»;</w:t>
      </w:r>
    </w:p>
    <w:p>
      <w:pPr>
        <w:pStyle w:val="Compact"/>
        <w:numPr>
          <w:ilvl w:val="0"/>
          <w:numId w:val="1005"/>
        </w:numPr>
      </w:pPr>
      <w:r>
        <w:t xml:space="preserve">рассылки пользователям ИРИ.</w:t>
      </w:r>
    </w:p>
    <w:bookmarkStart w:id="20" w:name="параметры-профиля"/>
    <w:p>
      <w:pPr>
        <w:pStyle w:val="Heading3"/>
      </w:pPr>
      <w:r>
        <w:t xml:space="preserve">1. Параметры профиля</w:t>
      </w:r>
    </w:p>
    <w:p>
      <w:pPr>
        <w:pStyle w:val="FirstParagraph"/>
      </w:pPr>
      <w:r>
        <w:t xml:space="preserve">Порционная отправка включается в секции</w:t>
      </w:r>
      <w:r>
        <w:t xml:space="preserve"> </w:t>
      </w:r>
      <w:r>
        <w:rPr>
          <w:rStyle w:val="VerbatimChar"/>
        </w:rPr>
        <w:t xml:space="preserve">[MAIN]</w:t>
      </w:r>
      <w:r>
        <w:t xml:space="preserve"> </w:t>
      </w:r>
      <w:r>
        <w:t xml:space="preserve">профиля пользователя или рабочего INI-файла.</w:t>
      </w:r>
    </w:p>
    <w:p>
      <w:pPr>
        <w:pStyle w:val="SourceCode"/>
      </w:pPr>
      <w:r>
        <w:rPr>
          <w:rStyle w:val="KeywordTok"/>
        </w:rPr>
        <w:t xml:space="preserve">[MAIN]</w:t>
      </w:r>
      <w:r>
        <w:br/>
      </w:r>
      <w:r>
        <w:rPr>
          <w:rStyle w:val="DataTypeTok"/>
        </w:rPr>
        <w:t xml:space="preserve">MailPortion</w:t>
      </w:r>
      <w:r>
        <w:rPr>
          <w:rStyle w:val="OtherTok"/>
        </w:rPr>
        <w:t xml:space="preserve">=</w:t>
      </w:r>
      <w:r>
        <w:rPr>
          <w:rStyle w:val="DecValTok"/>
        </w:rPr>
        <w:t xml:space="preserve">100</w:t>
      </w:r>
      <w:r>
        <w:br/>
      </w:r>
      <w:r>
        <w:rPr>
          <w:rStyle w:val="DataTypeTok"/>
        </w:rPr>
        <w:t xml:space="preserve">MailPortionInterval</w:t>
      </w:r>
      <w:r>
        <w:rPr>
          <w:rStyle w:val="OtherTok"/>
        </w:rPr>
        <w:t xml:space="preserve">=</w:t>
      </w:r>
      <w:r>
        <w:rPr>
          <w:rStyle w:val="DecValTok"/>
        </w:rPr>
        <w:t xml:space="preserve">5</w:t>
      </w:r>
    </w:p>
    <w:p>
      <w:pPr>
        <w:pStyle w:val="FirstParagraph"/>
      </w:pPr>
      <w:r>
        <w:rPr>
          <w:rStyle w:val="VerbatimChar"/>
        </w:rPr>
        <w:t xml:space="preserve">MailPortion</w:t>
      </w:r>
      <w:r>
        <w:t xml:space="preserve"> </w:t>
      </w:r>
      <w:r>
        <w:t xml:space="preserve">задает размер одной порции сообщений:</w:t>
      </w:r>
    </w:p>
    <w:p>
      <w:pPr>
        <w:pStyle w:val="Compact"/>
        <w:numPr>
          <w:ilvl w:val="0"/>
          <w:numId w:val="1006"/>
        </w:numPr>
      </w:pPr>
      <w:r>
        <w:rPr>
          <w:rStyle w:val="VerbatimChar"/>
        </w:rPr>
        <w:t xml:space="preserve">0</w:t>
      </w:r>
      <w:r>
        <w:t xml:space="preserve"> </w:t>
      </w:r>
      <w:r>
        <w:t xml:space="preserve">- порционная рассылка не используется, письма отправляются обычным способом;</w:t>
      </w:r>
    </w:p>
    <w:p>
      <w:pPr>
        <w:pStyle w:val="Compact"/>
        <w:numPr>
          <w:ilvl w:val="0"/>
          <w:numId w:val="1006"/>
        </w:numPr>
      </w:pPr>
      <w:r>
        <w:t xml:space="preserve">значение больше</w:t>
      </w:r>
      <w:r>
        <w:t xml:space="preserve"> </w:t>
      </w:r>
      <w:r>
        <w:rPr>
          <w:rStyle w:val="VerbatimChar"/>
        </w:rPr>
        <w:t xml:space="preserve">0</w:t>
      </w:r>
      <w:r>
        <w:t xml:space="preserve"> </w:t>
      </w:r>
      <w:r>
        <w:t xml:space="preserve">- количество сообщений в одной порции.</w:t>
      </w:r>
    </w:p>
    <w:p>
      <w:pPr>
        <w:pStyle w:val="FirstParagraph"/>
      </w:pPr>
      <w:r>
        <w:rPr>
          <w:rStyle w:val="VerbatimChar"/>
        </w:rPr>
        <w:t xml:space="preserve">MailPortionInterval</w:t>
      </w:r>
      <w:r>
        <w:t xml:space="preserve"> </w:t>
      </w:r>
      <w:r>
        <w:t xml:space="preserve">задает задержку между порциями в минутах. Допустимый диапазон - от</w:t>
      </w:r>
      <w:r>
        <w:t xml:space="preserve"> </w:t>
      </w:r>
      <w:r>
        <w:rPr>
          <w:rStyle w:val="VerbatimChar"/>
        </w:rPr>
        <w:t xml:space="preserve">1</w:t>
      </w:r>
      <w:r>
        <w:t xml:space="preserve"> </w:t>
      </w:r>
      <w:r>
        <w:t xml:space="preserve">до</w:t>
      </w:r>
      <w:r>
        <w:t xml:space="preserve"> </w:t>
      </w:r>
      <w:r>
        <w:rPr>
          <w:rStyle w:val="VerbatimChar"/>
        </w:rPr>
        <w:t xml:space="preserve">60</w:t>
      </w:r>
      <w:r>
        <w:t xml:space="preserve">; значение по умолчанию -</w:t>
      </w:r>
      <w:r>
        <w:t xml:space="preserve"> </w:t>
      </w:r>
      <w:r>
        <w:rPr>
          <w:rStyle w:val="VerbatimChar"/>
        </w:rPr>
        <w:t xml:space="preserve">5</w:t>
      </w:r>
      <w:r>
        <w:t xml:space="preserve">.</w:t>
      </w:r>
    </w:p>
    <w:p>
      <w:pPr>
        <w:pStyle w:val="BodyText"/>
      </w:pPr>
      <w:r>
        <w:t xml:space="preserve">При выборе размера порции и интервала учитывайте ограничения почтового провайдера. Чем меньше порция и больше интервал, тем ниже нагрузка на SMTP-сервер, но тем дольше будет выполняться вся рассылка.</w:t>
      </w:r>
    </w:p>
    <w:bookmarkEnd w:id="20"/>
    <w:bookmarkStart w:id="21" w:name="как-выполняется-отправка"/>
    <w:p>
      <w:pPr>
        <w:pStyle w:val="Heading3"/>
      </w:pPr>
      <w:r>
        <w:t xml:space="preserve">2. Как выполняется отправка</w:t>
      </w:r>
    </w:p>
    <w:p>
      <w:pPr>
        <w:pStyle w:val="FirstParagraph"/>
      </w:pPr>
      <w:r>
        <w:t xml:space="preserve">Если</w:t>
      </w:r>
      <w:r>
        <w:t xml:space="preserve"> </w:t>
      </w:r>
      <w:r>
        <w:rPr>
          <w:rStyle w:val="VerbatimChar"/>
        </w:rPr>
        <w:t xml:space="preserve">MailPortion</w:t>
      </w:r>
      <w:r>
        <w:t xml:space="preserve"> </w:t>
      </w:r>
      <w:r>
        <w:t xml:space="preserve">больше нуля, система разбивает подготовленный список писем на отдельные порции и запускает для отправки отдельную программу</w:t>
      </w:r>
      <w:r>
        <w:t xml:space="preserve"> </w:t>
      </w:r>
      <w:r>
        <w:rPr>
          <w:rStyle w:val="VerbatimChar"/>
        </w:rPr>
        <w:t xml:space="preserve">MailPortion.exe</w:t>
      </w:r>
      <w:r>
        <w:t xml:space="preserve">. После запуска рассылки оператор может продолжать работу в АРМ «Книговыдача»: отправка выполняется отдельно и не блокирует основной пользовательский интерфейс.</w:t>
      </w:r>
    </w:p>
    <w:p>
      <w:pPr>
        <w:pStyle w:val="BodyText"/>
      </w:pPr>
      <w:r>
        <w:t xml:space="preserve">В пользовательских сообщениях могут отображаться состояния:</w:t>
      </w:r>
    </w:p>
    <w:p>
      <w:pPr>
        <w:pStyle w:val="Compact"/>
        <w:numPr>
          <w:ilvl w:val="0"/>
          <w:numId w:val="1007"/>
        </w:numPr>
      </w:pPr>
      <w:r>
        <w:rPr>
          <w:rStyle w:val="VerbatimChar"/>
        </w:rPr>
        <w:t xml:space="preserve">Используется ПОРЦИОННАЯ рассылка E-mail</w:t>
      </w:r>
      <w:r>
        <w:t xml:space="preserve">;</w:t>
      </w:r>
    </w:p>
    <w:p>
      <w:pPr>
        <w:pStyle w:val="Compact"/>
        <w:numPr>
          <w:ilvl w:val="0"/>
          <w:numId w:val="1007"/>
        </w:numPr>
      </w:pPr>
      <w:r>
        <w:rPr>
          <w:rStyle w:val="VerbatimChar"/>
        </w:rPr>
        <w:t xml:space="preserve">Запущена программа порционной рассылки E-mail. Можно продолжать работу в АРМе Книговыдача</w:t>
      </w:r>
      <w:r>
        <w:t xml:space="preserve">;</w:t>
      </w:r>
    </w:p>
    <w:p>
      <w:pPr>
        <w:pStyle w:val="Compact"/>
        <w:numPr>
          <w:ilvl w:val="0"/>
          <w:numId w:val="1007"/>
        </w:numPr>
      </w:pPr>
      <w:r>
        <w:rPr>
          <w:rStyle w:val="VerbatimChar"/>
        </w:rPr>
        <w:t xml:space="preserve">Программа порционной рассылки E-mail завершила работу</w:t>
      </w:r>
      <w:r>
        <w:t xml:space="preserve">.</w:t>
      </w:r>
    </w:p>
    <w:p>
      <w:pPr>
        <w:pStyle w:val="FirstParagraph"/>
      </w:pPr>
      <w:r>
        <w:t xml:space="preserve">Если сообщения не отправляются, сначала проверьте обычные настройки E-mail: адрес отправителя, доступность SMTP-сервера, учетные данные, наличие E-mail у получателей и журналы ошибок отправки.</w:t>
      </w:r>
    </w:p>
    <w:bookmarkEnd w:id="21"/>
    <w:bookmarkEnd w:id="22"/>
    <w:bookmarkStart w:id="27" w:name="полнотекстовые-настройки-поставки"/>
    <w:p>
      <w:pPr>
        <w:pStyle w:val="Heading2"/>
      </w:pPr>
      <w:r>
        <w:t xml:space="preserve">Полнотекстовые настройки поставки</w:t>
      </w:r>
    </w:p>
    <w:p>
      <w:pPr>
        <w:pStyle w:val="FirstParagraph"/>
      </w:pPr>
      <w:r>
        <w:t xml:space="preserve">Этот раздел помогает сверять поставочные INI-файлы полнотекстового поиска при установке или обновлении дистрибутивов из</w:t>
      </w:r>
      <w:r>
        <w:t xml:space="preserve"> </w:t>
      </w:r>
      <w:r>
        <w:rPr>
          <w:rStyle w:val="VerbatimChar"/>
        </w:rPr>
        <w:t xml:space="preserve">modules/i128f/Distr</w:t>
      </w:r>
      <w:r>
        <w:t xml:space="preserve">.</w:t>
      </w:r>
    </w:p>
    <w:bookmarkStart w:id="23" w:name="web-ирбис-php"/>
    <w:p>
      <w:pPr>
        <w:pStyle w:val="Heading3"/>
      </w:pPr>
      <w:r>
        <w:t xml:space="preserve">1. Web-ИРБИС PHP</w:t>
      </w:r>
    </w:p>
    <w:p>
      <w:pPr>
        <w:pStyle w:val="FirstParagraph"/>
      </w:pPr>
      <w:r>
        <w:t xml:space="preserve">Для поставки Web-ИРБИС PHP используется файл</w:t>
      </w:r>
      <w:r>
        <w:t xml:space="preserve"> </w:t>
      </w:r>
      <w:r>
        <w:rPr>
          <w:rStyle w:val="VerbatimChar"/>
        </w:rPr>
        <w:t xml:space="preserve">modules/i128f/Distr/nix/php_irbis64/irbis_server_ft_php.ini</w:t>
      </w:r>
      <w:r>
        <w:t xml:space="preserve">. В секции</w:t>
      </w:r>
      <w:r>
        <w:t xml:space="preserve"> </w:t>
      </w:r>
      <w:r>
        <w:rPr>
          <w:rStyle w:val="VerbatimChar"/>
        </w:rPr>
        <w:t xml:space="preserve">[FullText]</w:t>
      </w:r>
      <w:r>
        <w:t xml:space="preserve"> </w:t>
      </w:r>
      <w:r>
        <w:t xml:space="preserve">должен быть включен режим морфологии:</w:t>
      </w:r>
    </w:p>
    <w:p>
      <w:pPr>
        <w:pStyle w:val="SourceCode"/>
      </w:pPr>
      <w:r>
        <w:rPr>
          <w:rStyle w:val="KeywordTok"/>
        </w:rPr>
        <w:t xml:space="preserve">[FullText]</w:t>
      </w:r>
      <w:r>
        <w:br/>
      </w:r>
      <w:r>
        <w:rPr>
          <w:rStyle w:val="DataTypeTok"/>
        </w:rPr>
        <w:t xml:space="preserve">Morphology</w:t>
      </w:r>
      <w:r>
        <w:rPr>
          <w:rStyle w:val="OtherTok"/>
        </w:rPr>
        <w:t xml:space="preserve">=</w:t>
      </w:r>
      <w:r>
        <w:rPr>
          <w:rStyle w:val="DecValTok"/>
        </w:rPr>
        <w:t xml:space="preserve">1</w:t>
      </w:r>
    </w:p>
    <w:p>
      <w:pPr>
        <w:pStyle w:val="FirstParagraph"/>
      </w:pPr>
      <w:r>
        <w:rPr>
          <w:rStyle w:val="VerbatimChar"/>
        </w:rPr>
        <w:t xml:space="preserve">Morphology=1</w:t>
      </w:r>
      <w:r>
        <w:t xml:space="preserve"> </w:t>
      </w:r>
      <w:r>
        <w:t xml:space="preserve">передает в полнотекстовый поиск признак учета морфологических форм слов. Если значение отключено или отсутствует, поиск работает без этого признака; фактическое поведение зависит от используемого серверного компонента и провайдера данных.</w:t>
      </w:r>
    </w:p>
    <w:bookmarkEnd w:id="23"/>
    <w:bookmarkStart w:id="24" w:name="server64-turbo"/>
    <w:p>
      <w:pPr>
        <w:pStyle w:val="Heading3"/>
      </w:pPr>
      <w:r>
        <w:t xml:space="preserve">2. Server64-turbo</w:t>
      </w:r>
    </w:p>
    <w:p>
      <w:pPr>
        <w:pStyle w:val="FirstParagraph"/>
      </w:pPr>
      <w:r>
        <w:t xml:space="preserve">В поставке</w:t>
      </w:r>
      <w:r>
        <w:t xml:space="preserve"> </w:t>
      </w:r>
      <w:r>
        <w:rPr>
          <w:rStyle w:val="VerbatimChar"/>
        </w:rPr>
        <w:t xml:space="preserve">server64-turbo</w:t>
      </w:r>
      <w:r>
        <w:t xml:space="preserve"> </w:t>
      </w:r>
      <w:r>
        <w:t xml:space="preserve">часть полнотекстовых параметров находится в INI-файлах АРМ. Для АРМ Каталогизатор используются параметры секции</w:t>
      </w:r>
      <w:r>
        <w:t xml:space="preserve"> </w:t>
      </w:r>
      <w:r>
        <w:rPr>
          <w:rStyle w:val="VerbatimChar"/>
        </w:rPr>
        <w:t xml:space="preserve">[MAIN]</w:t>
      </w:r>
      <w:r>
        <w:t xml:space="preserve">:</w:t>
      </w:r>
    </w:p>
    <w:p>
      <w:pPr>
        <w:pStyle w:val="SourceCode"/>
      </w:pPr>
      <w:r>
        <w:rPr>
          <w:rStyle w:val="KeywordTok"/>
        </w:rPr>
        <w:t xml:space="preserve">[MAIN]</w:t>
      </w:r>
      <w:r>
        <w:br/>
      </w:r>
      <w:r>
        <w:rPr>
          <w:rStyle w:val="DataTypeTok"/>
        </w:rPr>
        <w:t xml:space="preserve">FULLTEXTMAXRESULT</w:t>
      </w:r>
      <w:r>
        <w:rPr>
          <w:rStyle w:val="OtherTok"/>
        </w:rPr>
        <w:t xml:space="preserve">=</w:t>
      </w:r>
      <w:r>
        <w:rPr>
          <w:rStyle w:val="DecValTok"/>
        </w:rPr>
        <w:t xml:space="preserve">100</w:t>
      </w:r>
      <w:r>
        <w:br/>
      </w:r>
      <w:r>
        <w:rPr>
          <w:rStyle w:val="DataTypeTok"/>
        </w:rPr>
        <w:t xml:space="preserve">FULLTEXTMorphology</w:t>
      </w:r>
      <w:r>
        <w:rPr>
          <w:rStyle w:val="OtherTok"/>
        </w:rPr>
        <w:t xml:space="preserve">=</w:t>
      </w:r>
      <w:r>
        <w:rPr>
          <w:rStyle w:val="DecValTok"/>
        </w:rPr>
        <w:t xml:space="preserve">1</w:t>
      </w:r>
    </w:p>
    <w:p>
      <w:pPr>
        <w:pStyle w:val="FirstParagraph"/>
      </w:pPr>
      <w:r>
        <w:rPr>
          <w:rStyle w:val="VerbatimChar"/>
        </w:rPr>
        <w:t xml:space="preserve">FULLTEXTMAXRESULT</w:t>
      </w:r>
      <w:r>
        <w:t xml:space="preserve"> </w:t>
      </w:r>
      <w:r>
        <w:t xml:space="preserve">задает предельное число результатов полнотекстового поиска, а</w:t>
      </w:r>
      <w:r>
        <w:t xml:space="preserve"> </w:t>
      </w:r>
      <w:r>
        <w:rPr>
          <w:rStyle w:val="VerbatimChar"/>
        </w:rPr>
        <w:t xml:space="preserve">FULLTEXTMorphology=1</w:t>
      </w:r>
      <w:r>
        <w:t xml:space="preserve"> </w:t>
      </w:r>
      <w:r>
        <w:t xml:space="preserve">включает передачу признака морфологии из клиентского INI.</w:t>
      </w:r>
    </w:p>
    <w:p>
      <w:pPr>
        <w:pStyle w:val="BodyText"/>
      </w:pPr>
      <w:r>
        <w:t xml:space="preserve">Для АРМ Комплектатор в поставке используется отдельная секция</w:t>
      </w:r>
      <w:r>
        <w:t xml:space="preserve"> </w:t>
      </w:r>
      <w:r>
        <w:rPr>
          <w:rStyle w:val="VerbatimChar"/>
        </w:rPr>
        <w:t xml:space="preserve">[FULLTEXT]</w:t>
      </w:r>
      <w:r>
        <w:t xml:space="preserve">:</w:t>
      </w:r>
    </w:p>
    <w:p>
      <w:pPr>
        <w:pStyle w:val="SourceCode"/>
      </w:pPr>
      <w:r>
        <w:rPr>
          <w:rStyle w:val="KeywordTok"/>
        </w:rPr>
        <w:t xml:space="preserve">[FULLTEXT]</w:t>
      </w:r>
      <w:r>
        <w:br/>
      </w:r>
      <w:r>
        <w:rPr>
          <w:rStyle w:val="DataTypeTok"/>
        </w:rPr>
        <w:t xml:space="preserve">PAGE0_BOOST</w:t>
      </w:r>
      <w:r>
        <w:rPr>
          <w:rStyle w:val="OtherTok"/>
        </w:rPr>
        <w:t xml:space="preserve">=</w:t>
      </w:r>
      <w:r>
        <w:rPr>
          <w:rStyle w:val="DecValTok"/>
        </w:rPr>
        <w:t xml:space="preserve">0</w:t>
      </w:r>
    </w:p>
    <w:p>
      <w:pPr>
        <w:pStyle w:val="FirstParagraph"/>
      </w:pPr>
      <w:r>
        <w:rPr>
          <w:rStyle w:val="VerbatimChar"/>
        </w:rPr>
        <w:t xml:space="preserve">PAGE0_BOOST=0</w:t>
      </w:r>
      <w:r>
        <w:t xml:space="preserve"> </w:t>
      </w:r>
      <w:r>
        <w:t xml:space="preserve">оставляет первую страницу без дополнительного весового усиления в настройках полнотекстовой выдачи.</w:t>
      </w:r>
    </w:p>
    <w:bookmarkEnd w:id="24"/>
    <w:bookmarkStart w:id="25" w:name="ограничение-релевантности"/>
    <w:p>
      <w:pPr>
        <w:pStyle w:val="Heading3"/>
      </w:pPr>
      <w:r>
        <w:t xml:space="preserve">3. Ограничение релевантности</w:t>
      </w:r>
    </w:p>
    <w:p>
      <w:pPr>
        <w:pStyle w:val="FirstParagraph"/>
      </w:pPr>
      <w:r>
        <w:t xml:space="preserve">В нативном провайдере</w:t>
      </w:r>
      <w:r>
        <w:t xml:space="preserve"> </w:t>
      </w:r>
      <w:r>
        <w:rPr>
          <w:rStyle w:val="VerbatimChar"/>
        </w:rPr>
        <w:t xml:space="preserve">DP_Irbis64Native</w:t>
      </w:r>
      <w:r>
        <w:t xml:space="preserve"> </w:t>
      </w:r>
      <w:r>
        <w:t xml:space="preserve">ограничение расчета релевантности задано константой</w:t>
      </w:r>
      <w:r>
        <w:t xml:space="preserve"> </w:t>
      </w:r>
      <w:r>
        <w:rPr>
          <w:rStyle w:val="VerbatimChar"/>
        </w:rPr>
        <w:t xml:space="preserve">XpftConst::MAX_RELEVATION_MEM</w:t>
      </w:r>
      <w:r>
        <w:t xml:space="preserve">:</w:t>
      </w:r>
    </w:p>
    <w:p>
      <w:pPr>
        <w:pStyle w:val="SourceCode"/>
      </w:pPr>
      <w:r>
        <w:rPr>
          <w:rStyle w:val="KeywordTok"/>
        </w:rPr>
        <w:t xml:space="preserve">[FULLTEXT]</w:t>
      </w:r>
      <w:r>
        <w:br/>
      </w:r>
      <w:r>
        <w:rPr>
          <w:rStyle w:val="DataTypeTok"/>
        </w:rPr>
        <w:t xml:space="preserve">MAX_RELEVATION_MEM</w:t>
      </w:r>
      <w:r>
        <w:rPr>
          <w:rStyle w:val="OtherTok"/>
        </w:rPr>
        <w:t xml:space="preserve">=</w:t>
      </w:r>
      <w:r>
        <w:rPr>
          <w:rStyle w:val="DecValTok"/>
        </w:rPr>
        <w:t xml:space="preserve">100000</w:t>
      </w:r>
    </w:p>
    <w:p>
      <w:pPr>
        <w:pStyle w:val="FirstParagraph"/>
      </w:pPr>
      <w:r>
        <w:t xml:space="preserve">Если внешний дистрибутив или серверный компонент выносит этот предел в INI-файл, используйте значение</w:t>
      </w:r>
      <w:r>
        <w:t xml:space="preserve"> </w:t>
      </w:r>
      <w:r>
        <w:rPr>
          <w:rStyle w:val="VerbatimChar"/>
        </w:rPr>
        <w:t xml:space="preserve">100000</w:t>
      </w:r>
      <w:r>
        <w:t xml:space="preserve"> </w:t>
      </w:r>
      <w:r>
        <w:t xml:space="preserve">как базовое. В текущем PHP-коде ИРБИС 128 это значение закреплено в константе провайдера и не читается напрямую из поставочного INI.</w:t>
      </w:r>
    </w:p>
    <w:bookmarkEnd w:id="25"/>
    <w:bookmarkStart w:id="26" w:name="проверка-дистрибутива"/>
    <w:p>
      <w:pPr>
        <w:pStyle w:val="Heading3"/>
      </w:pPr>
      <w:r>
        <w:t xml:space="preserve">4. Проверка дистрибутива</w:t>
      </w:r>
    </w:p>
    <w:p>
      <w:pPr>
        <w:pStyle w:val="FirstParagraph"/>
      </w:pPr>
      <w:r>
        <w:t xml:space="preserve">При проверке нового дистрибутива полнотекстового поиска сверяйте:</w:t>
      </w:r>
    </w:p>
    <w:p>
      <w:pPr>
        <w:pStyle w:val="Compact"/>
        <w:numPr>
          <w:ilvl w:val="0"/>
          <w:numId w:val="1008"/>
        </w:numPr>
      </w:pPr>
      <w:r>
        <w:t xml:space="preserve">наличие секции</w:t>
      </w:r>
      <w:r>
        <w:t xml:space="preserve"> </w:t>
      </w:r>
      <w:r>
        <w:rPr>
          <w:rStyle w:val="VerbatimChar"/>
        </w:rPr>
        <w:t xml:space="preserve">[FullText]</w:t>
      </w:r>
      <w:r>
        <w:t xml:space="preserve"> </w:t>
      </w:r>
      <w:r>
        <w:t xml:space="preserve">или</w:t>
      </w:r>
      <w:r>
        <w:t xml:space="preserve"> </w:t>
      </w:r>
      <w:r>
        <w:rPr>
          <w:rStyle w:val="VerbatimChar"/>
        </w:rPr>
        <w:t xml:space="preserve">[FULLTEXT]</w:t>
      </w:r>
      <w:r>
        <w:t xml:space="preserve"> </w:t>
      </w:r>
      <w:r>
        <w:t xml:space="preserve">в нужном INI-файле;</w:t>
      </w:r>
    </w:p>
    <w:p>
      <w:pPr>
        <w:pStyle w:val="Compact"/>
        <w:numPr>
          <w:ilvl w:val="0"/>
          <w:numId w:val="1008"/>
        </w:numPr>
      </w:pPr>
      <w:r>
        <w:rPr>
          <w:rStyle w:val="VerbatimChar"/>
        </w:rPr>
        <w:t xml:space="preserve">Morphology=1</w:t>
      </w:r>
      <w:r>
        <w:t xml:space="preserve"> </w:t>
      </w:r>
      <w:r>
        <w:t xml:space="preserve">для Web-ИРБИС PHP или</w:t>
      </w:r>
      <w:r>
        <w:t xml:space="preserve"> </w:t>
      </w:r>
      <w:r>
        <w:rPr>
          <w:rStyle w:val="VerbatimChar"/>
        </w:rPr>
        <w:t xml:space="preserve">FULLTEXTMorphology=1</w:t>
      </w:r>
      <w:r>
        <w:t xml:space="preserve"> </w:t>
      </w:r>
      <w:r>
        <w:t xml:space="preserve">для INI АРМ;</w:t>
      </w:r>
    </w:p>
    <w:p>
      <w:pPr>
        <w:pStyle w:val="Compact"/>
        <w:numPr>
          <w:ilvl w:val="0"/>
          <w:numId w:val="1008"/>
        </w:numPr>
      </w:pPr>
      <w:r>
        <w:rPr>
          <w:rStyle w:val="VerbatimChar"/>
        </w:rPr>
        <w:t xml:space="preserve">PAGE0_BOOST=0</w:t>
      </w:r>
      <w:r>
        <w:t xml:space="preserve">, если проверяемый комплект содержит этот параметр полнотекстовой выдачи;</w:t>
      </w:r>
    </w:p>
    <w:p>
      <w:pPr>
        <w:pStyle w:val="Compact"/>
        <w:numPr>
          <w:ilvl w:val="0"/>
          <w:numId w:val="1008"/>
        </w:numPr>
      </w:pPr>
      <w:r>
        <w:t xml:space="preserve">соответствие предела релевантности значению</w:t>
      </w:r>
      <w:r>
        <w:t xml:space="preserve"> </w:t>
      </w:r>
      <w:r>
        <w:rPr>
          <w:rStyle w:val="VerbatimChar"/>
        </w:rPr>
        <w:t xml:space="preserve">MAX_RELEVATION_MEM=100000</w:t>
      </w:r>
      <w:r>
        <w:t xml:space="preserve">, если параметр вынесен в конфигурацию.</w:t>
      </w:r>
    </w:p>
    <w:p>
      <w:pPr>
        <w:pStyle w:val="FirstParagraph"/>
      </w:pPr>
      <w:r>
        <w:t xml:space="preserve">Не переносите параметры между INI-файлами механически: каждый из них читается своим серверным компонентом, АРМ или провайдером данных.</w:t>
      </w:r>
    </w:p>
    <w:bookmarkEnd w:id="26"/>
    <w:bookmarkEnd w:id="27"/>
    <w:bookmarkEnd w:id="28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abstractNum w:abstractNumId="991">
    <w:nsid w:val="0000A991"/>
    <w:multiLevelType w:val="multilevel"/>
    <w:lvl w:ilvl="0"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num w:numId="1000">
    <w:abstractNumId w:val="990"/>
  </w:num>
  <w:num w:numId="1001">
    <w:abstractNumId w:val="991"/>
  </w:num>
  <w:num w:numId="1002">
    <w:abstractNumId w:val="991"/>
  </w:num>
  <w:num w:numId="1003">
    <w:abstractNumId w:val="991"/>
  </w:num>
  <w:num w:numId="1004">
    <w:abstractNumId w:val="991"/>
  </w:num>
  <w:num w:numId="1005">
    <w:abstractNumId w:val="991"/>
  </w:num>
  <w:num w:numId="1006">
    <w:abstractNumId w:val="991"/>
  </w:num>
  <w:num w:numId="1007">
    <w:abstractNumId w:val="991"/>
  </w:num>
  <w:num w:numId="1008">
    <w:abstractNumId w:val="991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Каталог Distr</dc:title>
  <dc:creator/>
  <cp:keywords/>
  <dcterms:created xsi:type="dcterms:W3CDTF">2026-09-12T10:52:48Z</dcterms:created>
  <dcterms:modified xsi:type="dcterms:W3CDTF">2026-09-12T10:52:48Z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