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сценарии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и-сценарии"/>
    <w:p>
      <w:pPr>
        <w:pStyle w:val="Heading1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Organisations</w:t>
      </w:r>
      <w:r>
        <w:t xml:space="preserve"> </w:t>
      </w:r>
      <w:r>
        <w:t xml:space="preserve">является справочником организаций-участников и точкой настройки их взаимодействия с другими модулями. Запись организации содержит идентификаторы, название, адрес, статус, базы данных, контакты ответственных лиц и флаги подключенных подсистем.</w:t>
      </w:r>
    </w:p>
    <w:bookmarkStart w:id="9" w:name="сценарии"/>
    <w:p>
      <w:pPr>
        <w:pStyle w:val="Heading2"/>
      </w:pPr>
      <w:r>
        <w:t xml:space="preserve">1. Сценарии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создает или редактирует карточку организации;</w:t>
      </w:r>
    </w:p>
    <w:p>
      <w:pPr>
        <w:pStyle w:val="Compact"/>
        <w:numPr>
          <w:ilvl w:val="0"/>
          <w:numId w:val="1001"/>
        </w:numPr>
      </w:pPr>
      <w:r>
        <w:t xml:space="preserve">система ищет организацию по</w:t>
      </w:r>
      <w:r>
        <w:t xml:space="preserve"> </w:t>
      </w:r>
      <w:r>
        <w:rPr>
          <w:rStyle w:val="VerbatimChar"/>
        </w:rPr>
        <w:t xml:space="preserve">ORGSIGLA</w:t>
      </w:r>
      <w:r>
        <w:t xml:space="preserve">,</w:t>
      </w:r>
      <w:r>
        <w:t xml:space="preserve"> </w:t>
      </w:r>
      <w:r>
        <w:rPr>
          <w:rStyle w:val="VerbatimChar"/>
        </w:rPr>
        <w:t xml:space="preserve">ORGNAME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ORGSTATUS</w:t>
      </w:r>
      <w:r>
        <w:t xml:space="preserve"> </w:t>
      </w:r>
      <w:r>
        <w:t xml:space="preserve">и другим индексам;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фильтрует организации по региону, району и населенному пункту из поля почтового адреса;</w:t>
      </w:r>
    </w:p>
    <w:p>
      <w:pPr>
        <w:pStyle w:val="Compact"/>
        <w:numPr>
          <w:ilvl w:val="0"/>
          <w:numId w:val="1001"/>
        </w:numPr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,</w:t>
      </w:r>
      <w:r>
        <w:t xml:space="preserve"> </w:t>
      </w:r>
      <w:r>
        <w:rPr>
          <w:rStyle w:val="VerbatimChar"/>
        </w:rPr>
        <w:t xml:space="preserve">EDD</w:t>
      </w:r>
      <w:r>
        <w:t xml:space="preserve">,</w:t>
      </w:r>
      <w:r>
        <w:t xml:space="preserve"> </w:t>
      </w:r>
      <w:r>
        <w:rPr>
          <w:rStyle w:val="VerbatimChar"/>
        </w:rPr>
        <w:t xml:space="preserve">YandexMap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другие читают из карточки организации свои настройки;</w:t>
      </w:r>
    </w:p>
    <w:p>
      <w:pPr>
        <w:pStyle w:val="Compact"/>
        <w:numPr>
          <w:ilvl w:val="0"/>
          <w:numId w:val="1001"/>
        </w:numPr>
      </w:pPr>
      <w:r>
        <w:t xml:space="preserve">для организации создаются связи с базами данных и пользователями;</w:t>
      </w:r>
    </w:p>
    <w:p>
      <w:pPr>
        <w:pStyle w:val="Compact"/>
        <w:numPr>
          <w:ilvl w:val="0"/>
          <w:numId w:val="1001"/>
        </w:numPr>
      </w:pPr>
      <w:r>
        <w:t xml:space="preserve">служебные действия подготавливают профиль книговыдачи и очищают кэш сведений об организации.</w:t>
      </w:r>
    </w:p>
    <w:bookmarkEnd w:id="9"/>
    <w:bookmarkStart w:id="11" w:name="данные"/>
    <w:p>
      <w:pPr>
        <w:pStyle w:val="Heading2"/>
      </w:pPr>
      <w:r>
        <w:t xml:space="preserve">2. Данные</w:t>
      </w:r>
    </w:p>
    <w:p>
      <w:pPr>
        <w:pStyle w:val="FirstParagraph"/>
      </w:pPr>
      <w:r>
        <w:t xml:space="preserve">Основной тип записи: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. Важные поля: сигла и название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, параметры ЭДД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, администратор и руководитель в полях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, настройки экземплярного учета и импорта в полях</w:t>
      </w:r>
      <w:r>
        <w:t xml:space="preserve"> </w:t>
      </w:r>
      <w:r>
        <w:rPr>
          <w:rStyle w:val="VerbatimChar"/>
        </w:rPr>
        <w:t xml:space="preserve">5</w:t>
      </w:r>
      <w:r>
        <w:t xml:space="preserve">-</w:t>
      </w:r>
      <w:r>
        <w:rPr>
          <w:rStyle w:val="VerbatimChar"/>
        </w:rPr>
        <w:t xml:space="preserve">10</w:t>
      </w:r>
      <w:r>
        <w:t xml:space="preserve">, внешние идентификаторы в поле</w:t>
      </w:r>
      <w:r>
        <w:t xml:space="preserve"> </w:t>
      </w:r>
      <w:r>
        <w:rPr>
          <w:rStyle w:val="VerbatimChar"/>
        </w:rPr>
        <w:t xml:space="preserve">13</w:t>
      </w:r>
      <w:r>
        <w:t xml:space="preserve">, настройки синхронизации в поле</w:t>
      </w:r>
      <w:r>
        <w:t xml:space="preserve"> </w:t>
      </w:r>
      <w:r>
        <w:rPr>
          <w:rStyle w:val="VerbatimChar"/>
        </w:rPr>
        <w:t xml:space="preserve">14</w:t>
      </w:r>
      <w:r>
        <w:t xml:space="preserve">.</w:t>
      </w:r>
    </w:p>
    <w:p>
      <w:pPr>
        <w:pStyle w:val="BodyText"/>
      </w:pPr>
      <w:r>
        <w:t xml:space="preserve">Почтовый адрес организации хранится в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. Для расширенного поиска используются подполе</w:t>
      </w:r>
      <w:r>
        <w:t xml:space="preserve"> </w:t>
      </w:r>
      <w:r>
        <w:rPr>
          <w:rStyle w:val="VerbatimChar"/>
        </w:rPr>
        <w:t xml:space="preserve">719^B</w:t>
      </w:r>
      <w:r>
        <w:t xml:space="preserve"> </w:t>
      </w:r>
      <w:r>
        <w:t xml:space="preserve">(</w:t>
      </w:r>
      <w:r>
        <w:rPr>
          <w:b/>
          <w:bCs/>
        </w:rPr>
        <w:t xml:space="preserve">Регион</w:t>
      </w:r>
      <w:r>
        <w:t xml:space="preserve">),</w:t>
      </w:r>
      <w:r>
        <w:t xml:space="preserve"> </w:t>
      </w:r>
      <w:r>
        <w:rPr>
          <w:rStyle w:val="VerbatimChar"/>
        </w:rPr>
        <w:t xml:space="preserve">719^C</w:t>
      </w:r>
      <w:r>
        <w:t xml:space="preserve"> </w:t>
      </w:r>
      <w:r>
        <w:t xml:space="preserve">(</w:t>
      </w:r>
      <w:r>
        <w:rPr>
          <w:b/>
          <w:bCs/>
        </w:rPr>
        <w:t xml:space="preserve">Район</w:t>
      </w:r>
      <w:r>
        <w:t xml:space="preserve">) и</w:t>
      </w:r>
      <w:r>
        <w:t xml:space="preserve"> </w:t>
      </w:r>
      <w:r>
        <w:rPr>
          <w:rStyle w:val="VerbatimChar"/>
        </w:rPr>
        <w:t xml:space="preserve">719^D</w:t>
      </w:r>
      <w:r>
        <w:t xml:space="preserve"> </w:t>
      </w:r>
      <w:r>
        <w:t xml:space="preserve">(</w:t>
      </w:r>
      <w:r>
        <w:rPr>
          <w:b/>
          <w:bCs/>
        </w:rPr>
        <w:t xml:space="preserve">Город / населенный пункт</w:t>
      </w:r>
      <w:r>
        <w:t xml:space="preserve">). Подробнее см. раздел</w:t>
      </w:r>
      <w:r>
        <w:t xml:space="preserve"> </w:t>
      </w:r>
      <w:hyperlink r:id="rId10">
        <w:r>
          <w:rPr>
            <w:rStyle w:val="Hyperlink"/>
          </w:rPr>
          <w:t xml:space="preserve">Поиск организаций по адресу</w:t>
        </w:r>
      </w:hyperlink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Часть параметров показывается только при наличии связанных модулей и прав администратора. Картографические координаты и сведения провайдера могут кэшироваться, поэтому после изменения карточки сбрасываются связанные служебные кэши.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Organisations/Help/AddressSearc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Organisations/Help/AddressSearc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сценарии</dc:title>
  <dc:creator/>
  <cp:keywords/>
  <dcterms:created xsi:type="dcterms:W3CDTF">2026-09-11T20:56:46Z</dcterms:created>
  <dcterms:modified xsi:type="dcterms:W3CDTF">2026-09-11T20:56:46Z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