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[I128-2490] ЭДД: право просмотра заявки назначается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bc987eb37e9b51cbdca21c5454ee1d6e6933bc"/>
    <w:p>
      <w:pPr>
        <w:pStyle w:val="Heading1"/>
      </w:pPr>
      <w:r>
        <w:t xml:space="preserve">[I128-2490] ЭДД: право просмотра заявки назначается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21:51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создании заявки ЭДД право просмотра для IP добавляется в служебное поле 113 прямой записью из модуля CSpiderEDD. После выделения границы ответственности Security это оставляет часть сценария создания заявки вне общего механизма управления правами.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Создание заявки ЭДД использует общий механизм Security для назначения права просмотра. Для пользователя сценарий не меняется: заявка создается, а доступ к ней назначается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modules/CSpiderEDD/api.php прямое добавление SEC</w:t>
      </w:r>
      <w:r>
        <w:rPr>
          <w:strike/>
        </w:rPr>
        <w:t xml:space="preserve">поля через</w:t>
      </w:r>
      <w:r>
        <w:rPr>
          <w:strike/>
        </w:rPr>
        <w:t xml:space="preserve"> </w:t>
      </w:r>
      <m:oMath>
        <m:r>
          <m:t>r</m:t>
        </m:r>
        <m:r>
          <m:t>a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F</m:t>
        </m:r>
        <m:r>
          <m:t>i</m:t>
        </m:r>
        <m:r>
          <m:t>e</m:t>
        </m:r>
        <m:r>
          <m:t>l</m:t>
        </m:r>
        <m:r>
          <m:t>d</m:t>
        </m:r>
        <m:r>
          <m:t>A</m:t>
        </m:r>
        <m:r>
          <m:t>d</m:t>
        </m:r>
        <m:r>
          <m:t>d</m:t>
        </m:r>
        <m:r>
          <m:t>A</m:t>
        </m:r>
        <m:r>
          <m:rPr>
            <m:sty m:val="p"/>
          </m:rPr>
          <m:t>(</m:t>
        </m:r>
        <m:r>
          <m:t>113</m:t>
        </m:r>
        <m:r>
          <m:rPr>
            <m:sty m:val="p"/>
          </m:rPr>
          <m:t>,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M</m:t>
        </m:r>
        <m:r>
          <m:t>a</m:t>
        </m:r>
        <m:r>
          <m:t>t</m:t>
        </m:r>
        <m:r>
          <m:t>e</m:t>
        </m:r>
        <m:r>
          <m:t>r</m:t>
        </m:r>
        <m:r>
          <m:t>i</m:t>
        </m:r>
        <m:r>
          <m:t>a</m:t>
        </m:r>
        <m:r>
          <m:t>l</m:t>
        </m:r>
        <m:r>
          <m:t>i</m:t>
        </m:r>
        <m:r>
          <m:t>z</m:t>
        </m:r>
        <m:r>
          <m:t>e</m:t>
        </m:r>
        <m:r>
          <m:t>R</m:t>
        </m:r>
        <m:r>
          <m:t>i</m:t>
        </m:r>
        <m:r>
          <m:t>g</m:t>
        </m:r>
        <m:r>
          <m:t>h</m:t>
        </m:r>
        <m:r>
          <m:t>t</m:t>
        </m:r>
        <m:r>
          <m:rPr>
            <m:sty m:val="p"/>
          </m:rPr>
          <m:t>(</m:t>
        </m:r>
      </m:oMath>
      <w:r>
        <w:rPr>
          <w:strike/>
        </w:rPr>
        <w:t xml:space="preserve">ra,</w:t>
      </w:r>
      <w:r>
        <w:rPr>
          <w:strike/>
        </w:rPr>
        <w:t xml:space="preserve"> </w:t>
      </w:r>
      <w:r>
        <w:rPr>
          <w:strike/>
        </w:rPr>
        <w:t xml:space="preserve">‘Ip’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‘1’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‘view’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‘1’</w:t>
      </w:r>
      <w:r>
        <w:rPr>
          <w:strike/>
        </w:rPr>
        <w:t xml:space="preserve">). Это переводит назначение права на API, вынесенный в I128</w:t>
      </w:r>
      <w:r>
        <w:t xml:space="preserve">2487.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[I128-2490] ЭДД: право просмотра заявки назначается вне Security</dc:title>
  <dc:creator/>
  <cp:keywords/>
  <dcterms:created xsi:type="dcterms:W3CDTF">2026-09-11T08:59:02Z</dcterms:created>
  <dcterms:modified xsi:type="dcterms:W3CDTF">2026-09-11T08:59:02Z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