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[I128-2489] Книговыдача: SID читательской записи назначается вне Security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e860c9a26833c5de819e0fafa913ee93f81bc86"/>
    <w:p>
      <w:pPr>
        <w:pStyle w:val="Heading1"/>
      </w:pPr>
      <w:r>
        <w:t xml:space="preserve">[I128-2489] Книговыдача: SID читательской записи назначается вне Security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27.06.2026 21:52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</w:p>
    <w:p>
      <w:pPr>
        <w:pStyle w:val="BodyText"/>
      </w:pPr>
      <w:r>
        <w:t xml:space="preserve">В АРМ Книговыдача при открытии или создании читательской записи, если у записи отсутствует SID, служебный идентификатор назначается прямыми вызовами Record. После выделения границы ответственности Security это оставляет сценарии работы с читательскими записями вне общего механизма контроля служебного поля 113.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</w:p>
    <w:p>
      <w:pPr>
        <w:pStyle w:val="BodyText"/>
      </w:pPr>
      <w:r>
        <w:t xml:space="preserve">Открытие и создание читательской записи используют общий механизм Security для физического назначения SID. Для пользователя сценарии остаются прежними: запись открывается или создается, а недостающий SID назначается автоматически.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</w:p>
    <w:p>
      <w:pPr>
        <w:pStyle w:val="BodyText"/>
      </w:pPr>
      <w:r>
        <w:t xml:space="preserve">В modules/Bookland/Actions/EditRdrRec.inc и modules/Bookland/Actions/NewRdrRec.inc прямое назначение SID через</w:t>
      </w:r>
      <w:r>
        <w:t xml:space="preserve"> </w:t>
      </w:r>
      <m:oMath>
        <m:r>
          <m:t>r</m:t>
        </m:r>
        <m:r>
          <m:t>d</m:t>
        </m:r>
        <m:r>
          <m:t>r</m:t>
        </m:r>
        <m:r>
          <m:t>R</m:t>
        </m:r>
        <m:r>
          <m:t>e</m:t>
        </m:r>
        <m:r>
          <m:t>c</m:t>
        </m:r>
        <m:r>
          <m:t> </m:t>
        </m:r>
        <m:r>
          <m:t> </m:t>
        </m:r>
        <m:r>
          <m:rPr>
            <m:sty m:val="p"/>
          </m:rPr>
          <m:t>&gt;</m:t>
        </m:r>
        <m:r>
          <m:t>S</m:t>
        </m:r>
        <m:r>
          <m:t>e</m:t>
        </m:r>
        <m:r>
          <m:t>t</m:t>
        </m:r>
        <m:r>
          <m:t>S</m:t>
        </m:r>
        <m:r>
          <m:t>i</m:t>
        </m:r>
        <m:r>
          <m:t>d</m:t>
        </m:r>
        <m:r>
          <m:rPr>
            <m:sty m:val="p"/>
          </m:rPr>
          <m:t>(</m:t>
        </m:r>
        <m:r>
          <m:rPr>
            <m:sty m:val="p"/>
          </m:rPr>
          <m:t>)</m:t>
        </m:r>
        <m:r>
          <m:t>з</m:t>
        </m:r>
        <m:r>
          <m:t>а</m:t>
        </m:r>
        <m:r>
          <m:t>м</m:t>
        </m:r>
        <m:r>
          <m:t>е</m:t>
        </m:r>
        <m:r>
          <m:t>н</m:t>
        </m:r>
        <m:r>
          <m:t>я</m:t>
        </m:r>
        <m:r>
          <m:t>е</m:t>
        </m:r>
        <m:r>
          <m:t>т</m:t>
        </m:r>
        <m:r>
          <m:t>с</m:t>
        </m:r>
        <m:r>
          <m:t>я</m:t>
        </m:r>
        <m:r>
          <m:t>н</m:t>
        </m:r>
        <m:r>
          <m:t>а</m:t>
        </m:r>
        <m:r>
          <m:t>U</m:t>
        </m:r>
        <m:r>
          <m:t>s</m:t>
        </m:r>
        <m:r>
          <m:t>e</m:t>
        </m:r>
        <m:r>
          <m:t>M</m:t>
        </m:r>
        <m:r>
          <m:t>o</m:t>
        </m:r>
        <m:r>
          <m:t>d</m:t>
        </m:r>
        <m:r>
          <m:t>u</m:t>
        </m:r>
        <m:r>
          <m:t>l</m:t>
        </m:r>
        <m:r>
          <m:t>e</m:t>
        </m:r>
        <m:sSup>
          <m:e>
            <m:r>
              <m:rPr>
                <m:sty m:val="p"/>
              </m:rPr>
              <m:t>(</m:t>
            </m:r>
          </m:e>
          <m:sup>
            <m:r>
              <m:rPr>
                <m:sty m:val="p"/>
              </m:rPr>
              <m:t>′</m:t>
            </m:r>
          </m:sup>
        </m:sSup>
        <m:r>
          <m:t>S</m:t>
        </m:r>
        <m:r>
          <m:t>e</m:t>
        </m:r>
        <m:r>
          <m:t>c</m:t>
        </m:r>
        <m:r>
          <m:t>u</m:t>
        </m:r>
        <m:r>
          <m:t>r</m:t>
        </m:r>
        <m:r>
          <m:t>i</m:t>
        </m:r>
        <m:r>
          <m:t>t</m:t>
        </m:r>
        <m:sSup>
          <m:e>
            <m:r>
              <m:t>y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)</m:t>
        </m:r>
        <m:r>
          <m:t> </m:t>
        </m:r>
        <m:r>
          <m:t> </m:t>
        </m:r>
        <m:r>
          <m:rPr>
            <m:sty m:val="p"/>
          </m:rPr>
          <m:t>&gt;</m:t>
        </m:r>
        <m:r>
          <m:t>E</m:t>
        </m:r>
        <m:r>
          <m:t>n</m:t>
        </m:r>
        <m:r>
          <m:t>s</m:t>
        </m:r>
        <m:r>
          <m:t>u</m:t>
        </m:r>
        <m:r>
          <m:t>r</m:t>
        </m:r>
        <m:r>
          <m:t>e</m:t>
        </m:r>
        <m:r>
          <m:t>P</m:t>
        </m:r>
        <m:r>
          <m:t>h</m:t>
        </m:r>
        <m:r>
          <m:t>y</m:t>
        </m:r>
        <m:r>
          <m:t>s</m:t>
        </m:r>
        <m:r>
          <m:t>i</m:t>
        </m:r>
        <m:r>
          <m:t>c</m:t>
        </m:r>
        <m:r>
          <m:t>a</m:t>
        </m:r>
        <m:r>
          <m:t>l</m:t>
        </m:r>
        <m:r>
          <m:t>S</m:t>
        </m:r>
        <m:r>
          <m:t>i</m:t>
        </m:r>
        <m:r>
          <m:t>d</m:t>
        </m:r>
        <m:r>
          <m:rPr>
            <m:sty m:val="p"/>
          </m:rPr>
          <m:t>(</m:t>
        </m:r>
      </m:oMath>
      <w:r>
        <w:t xml:space="preserve">rdrRec). Сохранение SID записи остается в существующем сценарии.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r>
        <w:t xml:space="preserve">I128-2503 Исправить служебные связи UsersBooklist</w:t>
      </w:r>
    </w:p>
    <w:p>
      <w:pPr>
        <w:pStyle w:val="Compact"/>
        <w:numPr>
          <w:ilvl w:val="0"/>
          <w:numId w:val="1001"/>
        </w:numPr>
      </w:pPr>
      <w:r>
        <w:t xml:space="preserve">I128-2504 Исправить служебные поля he2</w:t>
      </w:r>
    </w:p>
    <w:p>
      <w:pPr>
        <w:pStyle w:val="Compact"/>
        <w:numPr>
          <w:ilvl w:val="0"/>
          <w:numId w:val="1001"/>
        </w:numPr>
      </w:pPr>
      <w:r>
        <w:t xml:space="preserve">I128-2505 Исправить служебные поля WIrbis</w:t>
      </w:r>
    </w:p>
    <w:p>
      <w:pPr>
        <w:pStyle w:val="Compact"/>
        <w:numPr>
          <w:ilvl w:val="0"/>
          <w:numId w:val="1001"/>
        </w:numPr>
      </w:pPr>
      <w:r>
        <w:t xml:space="preserve">I128-2506 Исправить служебные поля Authorisation</w:t>
      </w:r>
    </w:p>
    <w:p>
      <w:pPr>
        <w:pStyle w:val="Compact"/>
        <w:numPr>
          <w:ilvl w:val="0"/>
          <w:numId w:val="1001"/>
        </w:numPr>
      </w:pPr>
      <w:r>
        <w:t xml:space="preserve">I128-2507 Исправить управление правами Admin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i128-2487"/>
    <w:p>
      <w:pPr>
        <w:pStyle w:val="Heading3"/>
      </w:pPr>
      <w:r>
        <w:t xml:space="preserve">1.1. 🔗 blocks: I128-2487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[I128-2487]</w:t>
        </w:r>
      </w:hyperlink>
      <w:r>
        <w:t xml:space="preserve"> </w:t>
      </w:r>
      <w:r>
        <w:t xml:space="preserve">Security: служебное поле 113 создается без явного действия безопасности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48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48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[I128-2489] Книговыдача: SID читательской записи назначается вне Security</dc:title>
  <dc:creator/>
  <cp:keywords/>
  <dcterms:created xsi:type="dcterms:W3CDTF">2026-09-11T12:07:53Z</dcterms:created>
  <dcterms:modified xsi:type="dcterms:W3CDTF">2026-09-11T12:07:53Z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