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[I128-2171] БД, открываемые в режиме ReadOnly (с минусом перед именем) каждый раз открываются заново в функции i128f::OpenDbByMnemonicName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d749930551cd9e16feab4d57f59e8a38b098ff3"/>
    <w:p>
      <w:pPr>
        <w:pStyle w:val="Heading1"/>
      </w:pPr>
      <w:r>
        <w:t xml:space="preserve">[I128-2171] БД, открываемые в режиме ReadOnly (с минусом перед именем) каждый раз открываются заново в функции i128f::OpenDbByMnemonicName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[I128-2171] БД, открываемые в режиме ReadOnly (с минусом перед именем) каждый раз открываются заново в функции i128f::OpenDbByMnemonicName</dc:title>
  <dc:creator/>
  <cp:keywords/>
  <dcterms:created xsi:type="dcterms:W3CDTF">2026-09-11T11:11:10Z</dcterms:created>
  <dcterms:modified xsi:type="dcterms:W3CDTF">2026-09-11T11:11:10Z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