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&amp;uf(’+1O… - Групповая мультираскодировка списка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fd1e1f48f66fd7cd58ecd40581b52e0066f5e8"/>
    <w:p>
      <w:pPr>
        <w:pStyle w:val="Heading1"/>
      </w:pPr>
      <w:r>
        <w:t xml:space="preserve">&amp;uf(’+1O… - Групповая мультираскодировка списка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Групповая мультираскодировка списка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+1O&lt;MNU&gt;|SSSS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&lt;MNU&gt; имя справочника (с расширением);</w:t>
      </w:r>
      <w:r>
        <w:t xml:space="preserve"> </w:t>
      </w:r>
      <w:r>
        <w:t xml:space="preserve">* SSSS – список строк (результат расформатирования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&amp;unifor('+1Omhr.mnu|',(v910^m/))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&amp;uf(’+1O… - Групповая мультираскодировка списка</dc:title>
  <dc:creator/>
  <cp:keywords/>
  <dcterms:created xsi:type="dcterms:W3CDTF">2026-09-12T15:04:28Z</dcterms:created>
  <dcterms:modified xsi:type="dcterms:W3CDTF">2026-09-12T15:04:28Z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