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[I128-1883] Смена типа RFID - оборудования в интерфейсе АРМ Книговыдачи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02cf1fe5f3f77f56b5e66f186c7505f0e5b94c2"/>
    <w:p>
      <w:pPr>
        <w:pStyle w:val="Heading1"/>
      </w:pPr>
      <w:r>
        <w:t xml:space="preserve">[I128-1883] Смена типа RFID - оборудования в интерфейсе АРМ Книговыдачи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Книговыдача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26.01.2026 05:53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062"/>
    <w:p>
      <w:pPr>
        <w:pStyle w:val="Heading3"/>
      </w:pPr>
      <w:r>
        <w:t xml:space="preserve">1.1. 🔗 Соответствует задача: I128-2062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[I128-2062]</w:t>
        </w:r>
      </w:hyperlink>
      <w:r>
        <w:t xml:space="preserve"> </w:t>
      </w:r>
      <w:r>
        <w:t xml:space="preserve">Смена типа RFID - оборудования в интерфейсе АРМ Книговыдачи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06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06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[I128-1883] Смена типа RFID - оборудования в интерфейсе АРМ Книговыдачи</dc:title>
  <dc:creator/>
  <cp:keywords/>
  <dcterms:created xsi:type="dcterms:W3CDTF">2026-09-11T10:14:12Z</dcterms:created>
  <dcterms:modified xsi:type="dcterms:W3CDTF">2026-09-11T10:14:12Z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