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выбытия за период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выбытия-за-период"/>
    <w:p>
      <w:pPr>
        <w:pStyle w:val="Heading1"/>
      </w:pPr>
      <w:r>
        <w:t xml:space="preserve">КСУ выбытия за период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хранит записи книги суммарного учета выбытия за период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fs"/>
    <w:p>
      <w:pPr>
        <w:pStyle w:val="Heading2"/>
      </w:pPr>
      <w:r>
        <w:t xml:space="preserve">Назначение KSFS</w:t>
      </w:r>
    </w:p>
    <w:p>
      <w:pPr>
        <w:pStyle w:val="FirstParagraph"/>
      </w:pPr>
      <w:r>
        <w:rPr>
          <w:rStyle w:val="VerbatimChar"/>
        </w:rPr>
        <w:t xml:space="preserve">KSFS</w:t>
      </w:r>
      <w:r>
        <w:t xml:space="preserve"> </w:t>
      </w:r>
      <w:r>
        <w:t xml:space="preserve">является карточным модулем для записей КСУ выбытия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KSFS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выбытия за период</dc:title>
  <dc:creator/>
  <cp:keywords/>
  <dcterms:created xsi:type="dcterms:W3CDTF">2026-09-13T16:47:47Z</dcterms:created>
  <dcterms:modified xsi:type="dcterms:W3CDTF">2026-09-13T16:47:47Z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