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Интерпретатор форматов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нтерпретатор-форматов-ирбис-64"/>
    <w:p>
      <w:pPr>
        <w:pStyle w:val="Heading1"/>
      </w:pPr>
      <w:r>
        <w:t xml:space="preserve">Интерпретатор форматов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Fmt64</w:t>
      </w:r>
      <w:r>
        <w:t xml:space="preserve"> </w:t>
      </w:r>
      <w:r>
        <w:t xml:space="preserve">реализует интерпретатор языка форматов ИРБИС 64 на стороне ИРБИС 128. Он позволяет форматировать запись по тексту PFT-формата без обращения к внешнему форматеру.</w:t>
      </w:r>
    </w:p>
    <w:bookmarkStart w:id="12" w:name="назначение-модуля-fmt64"/>
    <w:p>
      <w:pPr>
        <w:pStyle w:val="Heading2"/>
      </w:pPr>
      <w:r>
        <w:t xml:space="preserve">Назначение модуля Fmt64</w:t>
      </w:r>
    </w:p>
    <w:p>
      <w:pPr>
        <w:pStyle w:val="FirstParagraph"/>
      </w:pPr>
      <w:r>
        <w:rPr>
          <w:rStyle w:val="VerbatimChar"/>
        </w:rPr>
        <w:t xml:space="preserve">Fmt64</w:t>
      </w:r>
      <w:r>
        <w:t xml:space="preserve"> </w:t>
      </w:r>
      <w:r>
        <w:t xml:space="preserve">разбирает и выполняет форматы ИРБИС 64. Центральная функция</w:t>
      </w:r>
      <w:r>
        <w:t xml:space="preserve"> </w:t>
      </w:r>
      <w:r>
        <w:rPr>
          <w:rStyle w:val="VerbatimChar"/>
        </w:rPr>
        <w:t xml:space="preserve">Fmt($db, $r, $format)</w:t>
      </w:r>
      <w:r>
        <w:t xml:space="preserve"> </w:t>
      </w:r>
      <w:r>
        <w:t xml:space="preserve">получает базу данных, запись и текст формата, после чего возвращает сформированную строку.</w:t>
      </w:r>
    </w:p>
    <w:bookmarkStart w:id="9" w:name="основные-группы-функций"/>
    <w:p>
      <w:pPr>
        <w:pStyle w:val="Heading3"/>
      </w:pPr>
      <w:r>
        <w:t xml:space="preserve">1. Основные группы функций</w:t>
      </w:r>
    </w:p>
    <w:p>
      <w:pPr>
        <w:pStyle w:val="Compact"/>
        <w:numPr>
          <w:ilvl w:val="0"/>
          <w:numId w:val="1001"/>
        </w:numPr>
      </w:pPr>
      <w:r>
        <w:t xml:space="preserve">разбор и выполнение формата: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FmtInternal</w:t>
      </w:r>
      <w:r>
        <w:t xml:space="preserve">,</w:t>
      </w:r>
      <w:r>
        <w:t xml:space="preserve"> </w:t>
      </w:r>
      <w:r>
        <w:rPr>
          <w:rStyle w:val="VerbatimChar"/>
        </w:rPr>
        <w:t xml:space="preserve">FmtCommandList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FmtFetchCommand</w:t>
      </w:r>
      <w:r>
        <w:t xml:space="preserve">,</w:t>
      </w:r>
      <w:r>
        <w:t xml:space="preserve"> </w:t>
      </w:r>
      <w:r>
        <w:rPr>
          <w:rStyle w:val="VerbatimChar"/>
        </w:rPr>
        <w:t xml:space="preserve">FmtPreFetchCommand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команды языка форматов: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l</w:t>
      </w:r>
      <w:r>
        <w:t xml:space="preserve">,</w:t>
      </w:r>
      <w:r>
        <w:t xml:space="preserve"> </w:t>
      </w:r>
      <w:r>
        <w:rPr>
          <w:rStyle w:val="VerbatimChar"/>
        </w:rPr>
        <w:t xml:space="preserve">m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p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строковые и числовые литералы:</w:t>
      </w:r>
      <w:r>
        <w:t xml:space="preserve"> </w:t>
      </w:r>
      <w:r>
        <w:rPr>
          <w:rStyle w:val="VerbatimChar"/>
        </w:rPr>
        <w:t xml:space="preserve">LiteralStringQuotes</w:t>
      </w:r>
      <w:r>
        <w:t xml:space="preserve">,</w:t>
      </w:r>
      <w:r>
        <w:t xml:space="preserve"> </w:t>
      </w:r>
      <w:r>
        <w:rPr>
          <w:rStyle w:val="VerbatimChar"/>
        </w:rPr>
        <w:t xml:space="preserve">LiteralStringVert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логические и арифметические операторы:</w:t>
      </w:r>
      <w:r>
        <w:t xml:space="preserve"> </w:t>
      </w:r>
      <w:r>
        <w:rPr>
          <w:rStyle w:val="VerbatimChar"/>
        </w:rPr>
        <w:t xml:space="preserve">opAND</w:t>
      </w:r>
      <w:r>
        <w:t xml:space="preserve">,</w:t>
      </w:r>
      <w:r>
        <w:t xml:space="preserve"> </w:t>
      </w:r>
      <w:r>
        <w:rPr>
          <w:rStyle w:val="VerbatimChar"/>
        </w:rPr>
        <w:t xml:space="preserve">opOR</w:t>
      </w:r>
      <w:r>
        <w:t xml:space="preserve">,</w:t>
      </w:r>
      <w:r>
        <w:t xml:space="preserve"> </w:t>
      </w:r>
      <w:r>
        <w:rPr>
          <w:rStyle w:val="VerbatimChar"/>
        </w:rPr>
        <w:t xml:space="preserve">opPlus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opMinus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opMul</w:t>
      </w:r>
      <w:r>
        <w:t xml:space="preserve">,</w:t>
      </w:r>
      <w:r>
        <w:t xml:space="preserve"> </w:t>
      </w:r>
      <w:r>
        <w:rPr>
          <w:rStyle w:val="VerbatimChar"/>
        </w:rPr>
        <w:t xml:space="preserve">opDiv</w:t>
      </w:r>
      <w:r>
        <w:t xml:space="preserve">, сравнения и поиск подстроки;</w:t>
      </w:r>
    </w:p>
    <w:p>
      <w:pPr>
        <w:pStyle w:val="Compact"/>
        <w:numPr>
          <w:ilvl w:val="0"/>
          <w:numId w:val="1001"/>
        </w:numPr>
      </w:pPr>
      <w:r>
        <w:t xml:space="preserve">повторяющиеся группы и агрегаты:</w:t>
      </w:r>
      <w:r>
        <w:t xml:space="preserve"> </w:t>
      </w:r>
      <w:r>
        <w:rPr>
          <w:rStyle w:val="VerbatimChar"/>
        </w:rPr>
        <w:t xml:space="preserve">RepeatGroup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UNIFOR-команды: функции с префиксом</w:t>
      </w:r>
      <w:r>
        <w:t xml:space="preserve"> </w:t>
      </w:r>
      <w:r>
        <w:rPr>
          <w:rStyle w:val="VerbatimChar"/>
        </w:rPr>
        <w:t xml:space="preserve">uf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диагностика и служебные операции: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ShowStep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KillLastCR</w:t>
      </w:r>
      <w:r>
        <w:t xml:space="preserve">,</w:t>
      </w:r>
      <w:r>
        <w:t xml:space="preserve"> </w:t>
      </w:r>
      <w:r>
        <w:rPr>
          <w:rStyle w:val="VerbatimChar"/>
        </w:rPr>
        <w:t xml:space="preserve">ValToString</w:t>
      </w:r>
      <w:r>
        <w:t xml:space="preserve">.</w:t>
      </w:r>
    </w:p>
    <w:bookmarkEnd w:id="9"/>
    <w:bookmarkStart w:id="10" w:name="тестовые-страницы"/>
    <w:p>
      <w:pPr>
        <w:pStyle w:val="Heading3"/>
      </w:pPr>
      <w:r>
        <w:t xml:space="preserve">2. Тестовые страницы</w:t>
      </w:r>
    </w:p>
    <w:p>
      <w:pPr>
        <w:pStyle w:val="FirstParagraph"/>
      </w:pPr>
      <w:r>
        <w:t xml:space="preserve">Страницы</w:t>
      </w:r>
      <w:r>
        <w:t xml:space="preserve"> </w:t>
      </w:r>
      <w:r>
        <w:rPr>
          <w:rStyle w:val="VerbatimChar"/>
        </w:rPr>
        <w:t xml:space="preserve">Fmt64/Test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Fmt64/Test1</w:t>
      </w:r>
      <w:r>
        <w:t xml:space="preserve"> </w:t>
      </w:r>
      <w:r>
        <w:t xml:space="preserve">используются для сравнения результата встроенного интерпретатора с форматированием 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 для отладочного вывода.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является низкоуровневым интерпретатором. Изменения в нем могут повлиять на все сценарии, где используются PFT-форматы, поэтому после правок нужны не только Help-проверки, но и функциональные сравнения на реальных форматах.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Интерпретатор форматов ИРБИС 64</dc:title>
  <dc:creator/>
  <cp:keywords/>
  <dcterms:created xsi:type="dcterms:W3CDTF">2026-09-12T20:32:08Z</dcterms:created>
  <dcterms:modified xsi:type="dcterms:W3CDTF">2026-09-12T20:32:08Z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