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администратора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подготовка-администратора-организации"/>
    <w:p>
      <w:pPr>
        <w:pStyle w:val="Heading1"/>
      </w:pPr>
      <w:r>
        <w:t xml:space="preserve">Подготовка администратора организации</w:t>
      </w:r>
    </w:p>
    <w:p>
      <w:pPr>
        <w:pStyle w:val="FirstParagraph"/>
      </w:pPr>
      <w:r>
        <w:t xml:space="preserve">Этот сценарий описывает подготовку организации или филиала к самостоятельной работе в системе: создание связанных БД, заполнение карточки организации, настройку профилей модулей, выдачу прав и назначение роли ответственному пользователю.</w:t>
      </w:r>
    </w:p>
    <w:p>
      <w:pPr>
        <w:pStyle w:val="BodyText"/>
      </w:pPr>
      <w:r>
        <w:t xml:space="preserve">Источник сценария - документ старой инструкции «Создание учетной записи администратора организации». При переносе сохранён порядок работ, но не копируются устаревшие экранные формы: фактические поля и действия нужно сверять с текущими модулями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bookmarkStart w:id="9" w:name="предварительные-данные"/>
    <w:p>
      <w:pPr>
        <w:pStyle w:val="Heading2"/>
      </w:pPr>
      <w:r>
        <w:t xml:space="preserve">1. Предварительные данные</w:t>
      </w:r>
    </w:p>
    <w:p>
      <w:pPr>
        <w:pStyle w:val="FirstParagraph"/>
      </w:pPr>
      <w:r>
        <w:t xml:space="preserve">До настройки соберите по каждой организации рабочую матрицу доступа: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Для чего используются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организации или филиала</w:t>
            </w:r>
          </w:p>
        </w:tc>
        <w:tc>
          <w:tcPr/>
          <w:p>
            <w:pPr>
              <w:pStyle w:val="Compact"/>
            </w:pPr>
            <w:r>
              <w:t xml:space="preserve">Запись в модуле</w:t>
            </w:r>
            <w:r>
              <w:t xml:space="preserve"> </w:t>
            </w:r>
            <w:r>
              <w:rPr>
                <w:rStyle w:val="VerbatimChar"/>
              </w:rPr>
              <w:t xml:space="preserve">Organisations</w:t>
            </w:r>
            <w:r>
              <w:t xml:space="preserve"> </w:t>
            </w:r>
            <w:r>
              <w:t xml:space="preserve">и отображение в связанных сценариях.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электронного каталога</w:t>
            </w:r>
          </w:p>
        </w:tc>
        <w:tc>
          <w:tcPr/>
          <w:p>
            <w:pPr>
              <w:pStyle w:val="Compact"/>
            </w:pPr>
            <w:r>
              <w:t xml:space="preserve">Связь организации с каталогами и настройками сводного каталога.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читателей</w:t>
            </w:r>
          </w:p>
        </w:tc>
        <w:tc>
          <w:tcPr/>
          <w:p>
            <w:pPr>
              <w:pStyle w:val="Compact"/>
            </w:pPr>
            <w:r>
              <w:t xml:space="preserve">Ограничение доступа к читательским данным и книговыдаче.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Места выдачи</w:t>
            </w:r>
          </w:p>
        </w:tc>
        <w:tc>
          <w:tcPr/>
          <w:p>
            <w:pPr>
              <w:pStyle w:val="Compact"/>
            </w:pPr>
            <w:r>
              <w:t xml:space="preserve">Настройка профилей книговыдачи и прав сотрудников.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Роли пользователей</w:t>
            </w:r>
          </w:p>
        </w:tc>
        <w:tc>
          <w:tcPr/>
          <w:p>
            <w:pPr>
              <w:pStyle w:val="Compact"/>
            </w:pPr>
            <w:r>
              <w:t xml:space="preserve">Группировка прав для администратора организации, администратора ИБ, каталогизаторов, сотрудников книговыдачи и других ролей.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Доступ к статистике, МБА, ЭБ и СК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права и настройки профильных модулей.</w:t>
            </w:r>
          </w:p>
        </w:tc>
      </w:tr>
    </w:tbl>
    <w:bookmarkEnd w:id="9"/>
    <w:bookmarkStart w:id="10" w:name="последовательность-настройки"/>
    <w:p>
      <w:pPr>
        <w:pStyle w:val="Heading2"/>
      </w:pPr>
      <w:r>
        <w:t xml:space="preserve">2. Последовательность настройки</w:t>
      </w:r>
    </w:p>
    <w:p>
      <w:pPr>
        <w:pStyle w:val="Compact"/>
        <w:numPr>
          <w:ilvl w:val="0"/>
          <w:numId w:val="1001"/>
        </w:numPr>
      </w:pPr>
      <w:r>
        <w:t xml:space="preserve">Авторизуйтесь под пользователем с административными правами.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БД, которые будут связаны с организацией: электронный каталог, БД читателей, служебные или профильные БД.</w:t>
      </w:r>
    </w:p>
    <w:p>
      <w:pPr>
        <w:pStyle w:val="Compact"/>
        <w:numPr>
          <w:ilvl w:val="0"/>
          <w:numId w:val="1001"/>
        </w:numPr>
      </w:pPr>
      <w:r>
        <w:t xml:space="preserve">Создайте запись организации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заполните основные сведения.</w:t>
      </w:r>
    </w:p>
    <w:p>
      <w:pPr>
        <w:pStyle w:val="Compact"/>
        <w:numPr>
          <w:ilvl w:val="0"/>
          <w:numId w:val="1001"/>
        </w:numPr>
      </w:pPr>
      <w:r>
        <w:t xml:space="preserve">Свяжите с организацией нужные БД и настройки участия в сводном каталоге.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профили настроек модулей, которыми будет пользоваться организация.</w:t>
      </w:r>
    </w:p>
    <w:p>
      <w:pPr>
        <w:pStyle w:val="Compact"/>
        <w:numPr>
          <w:ilvl w:val="0"/>
          <w:numId w:val="1001"/>
        </w:numPr>
      </w:pPr>
      <w:r>
        <w:t xml:space="preserve">Создайте роли пользователей для типовых полномочий.</w:t>
      </w:r>
    </w:p>
    <w:p>
      <w:pPr>
        <w:pStyle w:val="Compact"/>
        <w:numPr>
          <w:ilvl w:val="0"/>
          <w:numId w:val="1001"/>
        </w:numPr>
      </w:pPr>
      <w:r>
        <w:t xml:space="preserve">Назначьте права ролям на модули, страницы, БД и объектные записи.</w:t>
      </w:r>
    </w:p>
    <w:p>
      <w:pPr>
        <w:pStyle w:val="Compact"/>
        <w:numPr>
          <w:ilvl w:val="0"/>
          <w:numId w:val="1001"/>
        </w:numPr>
      </w:pPr>
      <w:r>
        <w:t xml:space="preserve">Назначьте роли конкретным пользователям.</w:t>
      </w:r>
    </w:p>
    <w:p>
      <w:pPr>
        <w:pStyle w:val="Compact"/>
        <w:numPr>
          <w:ilvl w:val="0"/>
          <w:numId w:val="1001"/>
        </w:numPr>
      </w:pPr>
      <w:r>
        <w:t xml:space="preserve">Проверьте вход под пользователем организации и доступность только разрешённых операций.</w:t>
      </w:r>
    </w:p>
    <w:bookmarkEnd w:id="10"/>
    <w:bookmarkStart w:id="12" w:name="базы-данных-организации"/>
    <w:p>
      <w:pPr>
        <w:pStyle w:val="Heading2"/>
      </w:pPr>
      <w:r>
        <w:t xml:space="preserve">3. Базы данных организации</w:t>
      </w:r>
    </w:p>
    <w:p>
      <w:pPr>
        <w:pStyle w:val="FirstParagraph"/>
      </w:pPr>
      <w:r>
        <w:t xml:space="preserve">БД создаются и настраиваются через АРМ «Администратор». Для каждой БД проверьте: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и описание;</w:t>
      </w:r>
    </w:p>
    <w:p>
      <w:pPr>
        <w:pStyle w:val="Compact"/>
        <w:numPr>
          <w:ilvl w:val="0"/>
          <w:numId w:val="1002"/>
        </w:numPr>
      </w:pPr>
      <w:r>
        <w:t xml:space="preserve">признак «только чтение», если БД не должна изменяться пользователями организации;</w:t>
      </w:r>
    </w:p>
    <w:p>
      <w:pPr>
        <w:pStyle w:val="Compact"/>
        <w:numPr>
          <w:ilvl w:val="0"/>
          <w:numId w:val="1002"/>
        </w:numPr>
      </w:pPr>
      <w:r>
        <w:t xml:space="preserve">признак БД читателей, если база содержит пользовательские записи;</w:t>
      </w:r>
    </w:p>
    <w:p>
      <w:pPr>
        <w:pStyle w:val="Compact"/>
        <w:numPr>
          <w:ilvl w:val="0"/>
          <w:numId w:val="1002"/>
        </w:numPr>
      </w:pPr>
      <w:r>
        <w:t xml:space="preserve">параметры провайдера данных;</w:t>
      </w:r>
    </w:p>
    <w:p>
      <w:pPr>
        <w:pStyle w:val="Compact"/>
        <w:numPr>
          <w:ilvl w:val="0"/>
          <w:numId w:val="1002"/>
        </w:numPr>
      </w:pPr>
      <w:r>
        <w:t xml:space="preserve">участие в сводном каталоге или других подсистемах, если это требуется.</w:t>
      </w:r>
    </w:p>
    <w:p>
      <w:pPr>
        <w:pStyle w:val="FirstParagraph"/>
      </w:pPr>
      <w:r>
        <w:t xml:space="preserve">Подробное описание провайдеров и параметров БД см. в разделе</w:t>
      </w:r>
      <w:r>
        <w:t xml:space="preserve"> </w:t>
      </w:r>
      <w:hyperlink r:id="rId11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</w:t>
      </w:r>
    </w:p>
    <w:bookmarkEnd w:id="12"/>
    <w:bookmarkStart w:id="14" w:name="карточка-организации"/>
    <w:p>
      <w:pPr>
        <w:pStyle w:val="Heading2"/>
      </w:pPr>
      <w:r>
        <w:t xml:space="preserve">4. Карточка организации</w:t>
      </w:r>
    </w:p>
    <w:p>
      <w:pPr>
        <w:pStyle w:val="FirstParagraph"/>
      </w:pPr>
      <w:r>
        <w:t xml:space="preserve">Запись организации ведётся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. В карточке обычно заполняются:</w:t>
      </w:r>
    </w:p>
    <w:p>
      <w:pPr>
        <w:pStyle w:val="Compact"/>
        <w:numPr>
          <w:ilvl w:val="0"/>
          <w:numId w:val="1003"/>
        </w:numPr>
      </w:pPr>
      <w:r>
        <w:t xml:space="preserve">полное и краткое наименование;</w:t>
      </w:r>
    </w:p>
    <w:p>
      <w:pPr>
        <w:pStyle w:val="Compact"/>
        <w:numPr>
          <w:ilvl w:val="0"/>
          <w:numId w:val="1003"/>
        </w:numPr>
      </w:pPr>
      <w:r>
        <w:t xml:space="preserve">статус организации;</w:t>
      </w:r>
    </w:p>
    <w:p>
      <w:pPr>
        <w:pStyle w:val="Compact"/>
        <w:numPr>
          <w:ilvl w:val="0"/>
          <w:numId w:val="1003"/>
        </w:numPr>
      </w:pPr>
      <w:r>
        <w:t xml:space="preserve">собственный идентификатор, ИНН и внешние идентификаторы;</w:t>
      </w:r>
    </w:p>
    <w:p>
      <w:pPr>
        <w:pStyle w:val="Compact"/>
        <w:numPr>
          <w:ilvl w:val="0"/>
          <w:numId w:val="1003"/>
        </w:numPr>
      </w:pPr>
      <w:r>
        <w:t xml:space="preserve">почтовый адрес и контактные данные;</w:t>
      </w:r>
    </w:p>
    <w:p>
      <w:pPr>
        <w:pStyle w:val="Compact"/>
        <w:numPr>
          <w:ilvl w:val="0"/>
          <w:numId w:val="1003"/>
        </w:numPr>
      </w:pPr>
      <w:r>
        <w:t xml:space="preserve">организационно-правовая форма;</w:t>
      </w:r>
    </w:p>
    <w:p>
      <w:pPr>
        <w:pStyle w:val="Compact"/>
        <w:numPr>
          <w:ilvl w:val="0"/>
          <w:numId w:val="1003"/>
        </w:numPr>
      </w:pPr>
      <w:r>
        <w:t xml:space="preserve">руководитель и ответственные представители;</w:t>
      </w:r>
    </w:p>
    <w:p>
      <w:pPr>
        <w:pStyle w:val="Compact"/>
        <w:numPr>
          <w:ilvl w:val="0"/>
          <w:numId w:val="1003"/>
        </w:numPr>
      </w:pPr>
      <w:r>
        <w:t xml:space="preserve">связанные БД пользователей 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настройки участия в сводном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 о слиянии, присоединении или составе организации.</w:t>
      </w:r>
    </w:p>
    <w:p>
      <w:pPr>
        <w:pStyle w:val="FirstParagraph"/>
      </w:pPr>
      <w:r>
        <w:t xml:space="preserve">Если организация участвует в сводном каталоге, порядок заполнения и привязки БД описан в разделе</w:t>
      </w:r>
      <w:r>
        <w:t xml:space="preserve"> </w:t>
      </w:r>
      <w:hyperlink r:id="rId13">
        <w:r>
          <w:rPr>
            <w:rStyle w:val="Hyperlink"/>
          </w:rPr>
          <w:t xml:space="preserve">Настройка организаций сводного каталога</w:t>
        </w:r>
      </w:hyperlink>
      <w:r>
        <w:t xml:space="preserve">.</w:t>
      </w:r>
    </w:p>
    <w:bookmarkEnd w:id="14"/>
    <w:bookmarkStart w:id="15" w:name="профили-настроек-модулей"/>
    <w:p>
      <w:pPr>
        <w:pStyle w:val="Heading2"/>
      </w:pPr>
      <w:r>
        <w:t xml:space="preserve">5. Профили настроек модулей</w:t>
      </w:r>
    </w:p>
    <w:p>
      <w:pPr>
        <w:pStyle w:val="FirstParagraph"/>
      </w:pPr>
      <w:r>
        <w:t xml:space="preserve">Профиль настроек определяет, как организация работает с конкретным модулем. В старой инструкции отдельно описывались профили для:</w:t>
      </w:r>
    </w:p>
    <w:p>
      <w:pPr>
        <w:pStyle w:val="Compact"/>
        <w:numPr>
          <w:ilvl w:val="0"/>
          <w:numId w:val="1004"/>
        </w:numPr>
      </w:pPr>
      <w:r>
        <w:t xml:space="preserve">АРМ «Каталогизатор»;</w:t>
      </w:r>
    </w:p>
    <w:p>
      <w:pPr>
        <w:pStyle w:val="Compact"/>
        <w:numPr>
          <w:ilvl w:val="0"/>
          <w:numId w:val="1004"/>
        </w:numPr>
      </w:pPr>
      <w:r>
        <w:t xml:space="preserve">АРМ «Книговыдача»;</w:t>
      </w:r>
    </w:p>
    <w:p>
      <w:pPr>
        <w:pStyle w:val="Compact"/>
        <w:numPr>
          <w:ilvl w:val="0"/>
          <w:numId w:val="1004"/>
        </w:numPr>
      </w:pPr>
      <w:r>
        <w:t xml:space="preserve">АРМ «Комплектатор»;</w:t>
      </w:r>
    </w:p>
    <w:p>
      <w:pPr>
        <w:pStyle w:val="Compact"/>
        <w:numPr>
          <w:ilvl w:val="0"/>
          <w:numId w:val="1004"/>
        </w:numPr>
      </w:pPr>
      <w:r>
        <w:t xml:space="preserve">модуля «Личный кабинет читателя».</w:t>
      </w:r>
    </w:p>
    <w:p>
      <w:pPr>
        <w:pStyle w:val="FirstParagraph"/>
      </w:pPr>
      <w:r>
        <w:t xml:space="preserve">В текущей справке не нужно дублировать все поля профилей на одной странице. При настройке используйте административные панели соответствующих модулей и проверяйте профиль по фактическим параметрам модуля. Если модуль поддерживает организационные ограничения, профиль должен ссылаться на созданную организацию, её БД и разрешённые места выдачи.</w:t>
      </w:r>
    </w:p>
    <w:bookmarkEnd w:id="15"/>
    <w:bookmarkStart w:id="17" w:name="роли-и-права"/>
    <w:p>
      <w:pPr>
        <w:pStyle w:val="Heading2"/>
      </w:pPr>
      <w:r>
        <w:t xml:space="preserve">6. Роли и права</w:t>
      </w:r>
    </w:p>
    <w:p>
      <w:pPr>
        <w:pStyle w:val="FirstParagraph"/>
      </w:pPr>
      <w:r>
        <w:t xml:space="preserve">Роли нужны, чтобы не назначать права каждому пользователю вручную. Для администратора организации обычно создают отдельную роль, в которую включают только те операции, которые организация должна выполнять самостоятельно.</w:t>
      </w:r>
    </w:p>
    <w:p>
      <w:pPr>
        <w:pStyle w:val="BodyText"/>
      </w:pPr>
      <w:r>
        <w:t xml:space="preserve">При назначении прав проверьте:</w:t>
      </w:r>
    </w:p>
    <w:p>
      <w:pPr>
        <w:pStyle w:val="Compact"/>
        <w:numPr>
          <w:ilvl w:val="0"/>
          <w:numId w:val="1005"/>
        </w:numPr>
      </w:pPr>
      <w:r>
        <w:t xml:space="preserve">доступ к АРМ и страницам, которые нужны роли;</w:t>
      </w:r>
    </w:p>
    <w:p>
      <w:pPr>
        <w:pStyle w:val="Compact"/>
        <w:numPr>
          <w:ilvl w:val="0"/>
          <w:numId w:val="1005"/>
        </w:numPr>
      </w:pPr>
      <w:r>
        <w:t xml:space="preserve">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 </w:t>
      </w:r>
      <w:r>
        <w:t xml:space="preserve">только там, где они действительно требуются;</w:t>
      </w:r>
    </w:p>
    <w:p>
      <w:pPr>
        <w:pStyle w:val="Compact"/>
        <w:numPr>
          <w:ilvl w:val="0"/>
          <w:numId w:val="1005"/>
        </w:numPr>
      </w:pPr>
      <w:r>
        <w:t xml:space="preserve">права на связанные БД и объектные записи;</w:t>
      </w:r>
    </w:p>
    <w:p>
      <w:pPr>
        <w:pStyle w:val="Compact"/>
        <w:numPr>
          <w:ilvl w:val="0"/>
          <w:numId w:val="1005"/>
        </w:numPr>
      </w:pPr>
      <w:r>
        <w:t xml:space="preserve">наследование прав для дочерних объектов;</w:t>
      </w:r>
    </w:p>
    <w:p>
      <w:pPr>
        <w:pStyle w:val="Compact"/>
        <w:numPr>
          <w:ilvl w:val="0"/>
          <w:numId w:val="1005"/>
        </w:numPr>
      </w:pPr>
      <w:r>
        <w:t xml:space="preserve">отсутствие широких административных прав у обычных сотрудников.</w:t>
      </w:r>
    </w:p>
    <w:p>
      <w:pPr>
        <w:pStyle w:val="FirstParagraph"/>
      </w:pPr>
      <w:r>
        <w:t xml:space="preserve">Текущая модель прав, субъекты безопасности и проверка результата описаны в разделе</w:t>
      </w:r>
      <w:r>
        <w:t xml:space="preserve"> </w:t>
      </w:r>
      <w:hyperlink r:id="rId16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bookmarkEnd w:id="17"/>
    <w:bookmarkStart w:id="18" w:name="назначение-роли-пользователю"/>
    <w:p>
      <w:pPr>
        <w:pStyle w:val="Heading2"/>
      </w:pPr>
      <w:r>
        <w:t xml:space="preserve">7. Назначение роли пользователю</w:t>
      </w:r>
    </w:p>
    <w:p>
      <w:pPr>
        <w:pStyle w:val="FirstParagraph"/>
      </w:pPr>
      <w:r>
        <w:t xml:space="preserve">После создания роли откройте управление пользователями и назначьте роль конкретной учётной записи. Для администратора организации проверьте, что: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войти в систему;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видит нужные модули и организации;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выполнять разрешённые административные действия;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не видит чужие организации, БД и операции, которые не входят в его полномочия;</w:t>
      </w:r>
    </w:p>
    <w:p>
      <w:pPr>
        <w:pStyle w:val="Compact"/>
        <w:numPr>
          <w:ilvl w:val="0"/>
          <w:numId w:val="1006"/>
        </w:numPr>
      </w:pPr>
      <w:r>
        <w:t xml:space="preserve">права применяются к новым дочерним объектам после обновления наследования.</w:t>
      </w:r>
    </w:p>
    <w:bookmarkEnd w:id="18"/>
    <w:bookmarkStart w:id="19" w:name="контроль-результата"/>
    <w:p>
      <w:pPr>
        <w:pStyle w:val="Heading2"/>
      </w:pPr>
      <w:r>
        <w:t xml:space="preserve">8. Контроль результата</w:t>
      </w:r>
    </w:p>
    <w:p>
      <w:pPr>
        <w:pStyle w:val="FirstParagraph"/>
      </w:pPr>
      <w:r>
        <w:t xml:space="preserve">Проверку выполняйте отдельной тестовой учётной записью с назначенной ролью организации. Минимальный контрольный набор:</w:t>
      </w:r>
    </w:p>
    <w:p>
      <w:pPr>
        <w:pStyle w:val="Compact"/>
        <w:numPr>
          <w:ilvl w:val="0"/>
          <w:numId w:val="1007"/>
        </w:numPr>
      </w:pPr>
      <w:r>
        <w:t xml:space="preserve">Вход в систему под пользователем организации.</w:t>
      </w:r>
    </w:p>
    <w:p>
      <w:pPr>
        <w:pStyle w:val="Compact"/>
        <w:numPr>
          <w:ilvl w:val="0"/>
          <w:numId w:val="1007"/>
        </w:numPr>
      </w:pPr>
      <w:r>
        <w:t xml:space="preserve">Открытие разрешённых модулей.</w:t>
      </w:r>
    </w:p>
    <w:p>
      <w:pPr>
        <w:pStyle w:val="Compact"/>
        <w:numPr>
          <w:ilvl w:val="0"/>
          <w:numId w:val="1007"/>
        </w:numPr>
      </w:pPr>
      <w:r>
        <w:t xml:space="preserve">Просмотр и редактирование только разрешённых БД и организаций.</w:t>
      </w:r>
    </w:p>
    <w:p>
      <w:pPr>
        <w:pStyle w:val="Compact"/>
        <w:numPr>
          <w:ilvl w:val="0"/>
          <w:numId w:val="1007"/>
        </w:numPr>
      </w:pPr>
      <w:r>
        <w:t xml:space="preserve">Отсутствие доступа к системным настройкам, если они не входят в роль.</w:t>
      </w:r>
    </w:p>
    <w:p>
      <w:pPr>
        <w:pStyle w:val="Compact"/>
        <w:numPr>
          <w:ilvl w:val="0"/>
          <w:numId w:val="1007"/>
        </w:numPr>
      </w:pPr>
      <w:r>
        <w:t xml:space="preserve">Выполнение профильного сценария: каталогизация, книговыдача, комплектование, работа с личным кабинетом или сводным каталогом.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администратора организации</dc:title>
  <dc:creator/>
  <cp:keywords/>
  <dcterms:created xsi:type="dcterms:W3CDTF">2026-09-12T16:05:52Z</dcterms:created>
  <dcterms:modified xsi:type="dcterms:W3CDTF">2026-09-12T16:05:52Z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