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организации"/>
    <w:p>
      <w:pPr>
        <w:pStyle w:val="Heading1"/>
      </w:pPr>
      <w:r>
        <w:t xml:space="preserve">Организации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ведет записи организаций и хранит настройки, которые связывают организацию с каталогами, пользователями и прикладными подсистемами ИРБИС 128.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хранение карточки организации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организаций по сигле, названию, статусу, региону и внешним идентификаторам;</w:t>
      </w:r>
    </w:p>
    <w:p>
      <w:pPr>
        <w:pStyle w:val="Compact"/>
        <w:numPr>
          <w:ilvl w:val="0"/>
          <w:numId w:val="1001"/>
        </w:numPr>
      </w:pPr>
      <w:r>
        <w:t xml:space="preserve">привязка баз данных организации и пользователей;</w:t>
      </w:r>
    </w:p>
    <w:p>
      <w:pPr>
        <w:pStyle w:val="Compact"/>
        <w:numPr>
          <w:ilvl w:val="0"/>
          <w:numId w:val="1001"/>
        </w:numPr>
      </w:pPr>
      <w:r>
        <w:t xml:space="preserve">настройки обмена с электронным каталогом, читателями, ЭДД и каталогизацией экземплярами;</w:t>
      </w:r>
    </w:p>
    <w:p>
      <w:pPr>
        <w:pStyle w:val="Compact"/>
        <w:numPr>
          <w:ilvl w:val="0"/>
          <w:numId w:val="1001"/>
        </w:numPr>
      </w:pPr>
      <w:r>
        <w:t xml:space="preserve">подготовка сведений для сводных каталогов, картографического отображения и служебных интеграций;</w:t>
      </w:r>
    </w:p>
    <w:p>
      <w:pPr>
        <w:pStyle w:val="Compact"/>
        <w:numPr>
          <w:ilvl w:val="0"/>
          <w:numId w:val="1001"/>
        </w:numPr>
      </w:pPr>
      <w:r>
        <w:t xml:space="preserve">создание профиля книговыдачи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для организации.</w:t>
      </w:r>
    </w:p>
    <w:bookmarkEnd w:id="9"/>
    <w:bookmarkStart w:id="14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Organisations</w:t>
      </w:r>
      <w:r>
        <w:t xml:space="preserve"> </w:t>
      </w:r>
      <w:r>
        <w:t xml:space="preserve">является справочником организаций-участников и точкой настройки их взаимодействия с другими модулями. Запись организации содержит идентификаторы, название, адрес, статус, базы данных, контакты ответственных лиц и флаги подключенных подсистем.</w:t>
      </w:r>
    </w:p>
    <w:bookmarkStart w:id="10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2"/>
        </w:numPr>
      </w:pPr>
      <w:r>
        <w:t xml:space="preserve">администратор создает или редактирует карточку организации;</w:t>
      </w:r>
    </w:p>
    <w:p>
      <w:pPr>
        <w:pStyle w:val="Compact"/>
        <w:numPr>
          <w:ilvl w:val="0"/>
          <w:numId w:val="1002"/>
        </w:numPr>
      </w:pPr>
      <w:r>
        <w:t xml:space="preserve">система ищет организацию по</w:t>
      </w:r>
      <w:r>
        <w:t xml:space="preserve"> </w:t>
      </w:r>
      <w:r>
        <w:rPr>
          <w:rStyle w:val="VerbatimChar"/>
        </w:rPr>
        <w:t xml:space="preserve">ORGSIGLA</w:t>
      </w:r>
      <w:r>
        <w:t xml:space="preserve">,</w:t>
      </w:r>
      <w:r>
        <w:t xml:space="preserve"> </w:t>
      </w:r>
      <w:r>
        <w:rPr>
          <w:rStyle w:val="VerbatimChar"/>
        </w:rPr>
        <w:t xml:space="preserve">ORGNAME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ORGSTATUS</w:t>
      </w:r>
      <w:r>
        <w:t xml:space="preserve"> </w:t>
      </w:r>
      <w:r>
        <w:t xml:space="preserve">и другим индексам;</w:t>
      </w:r>
    </w:p>
    <w:p>
      <w:pPr>
        <w:pStyle w:val="Compact"/>
        <w:numPr>
          <w:ilvl w:val="0"/>
          <w:numId w:val="1002"/>
        </w:numPr>
      </w:pPr>
      <w:r>
        <w:t xml:space="preserve">администратор фильтрует организации по региону, району и населенному пункту из поля почтового адреса;</w:t>
      </w:r>
    </w:p>
    <w:p>
      <w:pPr>
        <w:pStyle w:val="Compact"/>
        <w:numPr>
          <w:ilvl w:val="0"/>
          <w:numId w:val="1002"/>
        </w:numPr>
      </w:pPr>
      <w:r>
        <w:t xml:space="preserve">модули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,</w:t>
      </w:r>
      <w:r>
        <w:t xml:space="preserve"> </w:t>
      </w:r>
      <w:r>
        <w:rPr>
          <w:rStyle w:val="VerbatimChar"/>
        </w:rPr>
        <w:t xml:space="preserve">EDD</w:t>
      </w:r>
      <w:r>
        <w:t xml:space="preserve">,</w:t>
      </w:r>
      <w:r>
        <w:t xml:space="preserve"> </w:t>
      </w:r>
      <w:r>
        <w:rPr>
          <w:rStyle w:val="VerbatimChar"/>
        </w:rPr>
        <w:t xml:space="preserve">YandexMap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другие читают из карточки организации свои настройки;</w:t>
      </w:r>
    </w:p>
    <w:p>
      <w:pPr>
        <w:pStyle w:val="Compact"/>
        <w:numPr>
          <w:ilvl w:val="0"/>
          <w:numId w:val="1002"/>
        </w:numPr>
      </w:pPr>
      <w:r>
        <w:t xml:space="preserve">для организации создаются связи с базами данных и пользователями;</w:t>
      </w:r>
    </w:p>
    <w:p>
      <w:pPr>
        <w:pStyle w:val="Compact"/>
        <w:numPr>
          <w:ilvl w:val="0"/>
          <w:numId w:val="1002"/>
        </w:numPr>
      </w:pPr>
      <w:r>
        <w:t xml:space="preserve">служебные действия подготавливают профиль книговыдачи и очищают кэш сведений об организации.</w:t>
      </w:r>
    </w:p>
    <w:bookmarkEnd w:id="10"/>
    <w:bookmarkStart w:id="12" w:name="данные"/>
    <w:p>
      <w:pPr>
        <w:pStyle w:val="Heading3"/>
      </w:pPr>
      <w:r>
        <w:t xml:space="preserve">2. Данные</w:t>
      </w:r>
    </w:p>
    <w:p>
      <w:pPr>
        <w:pStyle w:val="FirstParagraph"/>
      </w:pPr>
      <w:r>
        <w:t xml:space="preserve">Основной тип записи: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Важные поля: сигла и название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, параметры ЭДД в поле</w:t>
      </w:r>
      <w:r>
        <w:t xml:space="preserve"> </w:t>
      </w:r>
      <w:r>
        <w:rPr>
          <w:rStyle w:val="VerbatimChar"/>
        </w:rPr>
        <w:t xml:space="preserve">2</w:t>
      </w:r>
      <w:r>
        <w:t xml:space="preserve">, администратор и руководитель в полях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4</w:t>
      </w:r>
      <w:r>
        <w:t xml:space="preserve">, настройки экземплярного учета и импорта в полях</w:t>
      </w:r>
      <w:r>
        <w:t xml:space="preserve"> </w:t>
      </w:r>
      <w:r>
        <w:rPr>
          <w:rStyle w:val="VerbatimChar"/>
        </w:rPr>
        <w:t xml:space="preserve">5</w:t>
      </w:r>
      <w:r>
        <w:t xml:space="preserve">-</w:t>
      </w:r>
      <w:r>
        <w:rPr>
          <w:rStyle w:val="VerbatimChar"/>
        </w:rPr>
        <w:t xml:space="preserve">10</w:t>
      </w:r>
      <w:r>
        <w:t xml:space="preserve">, внешние идентификаторы в поле</w:t>
      </w:r>
      <w:r>
        <w:t xml:space="preserve"> </w:t>
      </w:r>
      <w:r>
        <w:rPr>
          <w:rStyle w:val="VerbatimChar"/>
        </w:rPr>
        <w:t xml:space="preserve">13</w:t>
      </w:r>
      <w:r>
        <w:t xml:space="preserve">, настройки синхронизации в поле</w:t>
      </w:r>
      <w:r>
        <w:t xml:space="preserve"> </w:t>
      </w:r>
      <w:r>
        <w:rPr>
          <w:rStyle w:val="VerbatimChar"/>
        </w:rPr>
        <w:t xml:space="preserve">14</w:t>
      </w:r>
      <w:r>
        <w:t xml:space="preserve">.</w:t>
      </w:r>
    </w:p>
    <w:p>
      <w:pPr>
        <w:pStyle w:val="BodyText"/>
      </w:pPr>
      <w:r>
        <w:t xml:space="preserve">Почтовый адрес организации хранится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. Для расширенного поиска используются подполе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 </w:t>
      </w:r>
      <w:r>
        <w:t xml:space="preserve">(</w:t>
      </w:r>
      <w:r>
        <w:rPr>
          <w:b/>
          <w:bCs/>
        </w:rPr>
        <w:t xml:space="preserve">Регион</w:t>
      </w:r>
      <w:r>
        <w:t xml:space="preserve">),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 </w:t>
      </w:r>
      <w:r>
        <w:t xml:space="preserve">(</w:t>
      </w:r>
      <w:r>
        <w:rPr>
          <w:b/>
          <w:bCs/>
        </w:rPr>
        <w:t xml:space="preserve">Район</w:t>
      </w:r>
      <w:r>
        <w:t xml:space="preserve">) и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 </w:t>
      </w:r>
      <w:r>
        <w:t xml:space="preserve">(</w:t>
      </w:r>
      <w:r>
        <w:rPr>
          <w:b/>
          <w:bCs/>
        </w:rPr>
        <w:t xml:space="preserve">Город / населенный пункт</w:t>
      </w:r>
      <w:r>
        <w:t xml:space="preserve">). Подробнее см. раздел</w:t>
      </w:r>
      <w:r>
        <w:t xml:space="preserve"> </w:t>
      </w:r>
      <w:hyperlink r:id="rId11">
        <w:r>
          <w:rPr>
            <w:rStyle w:val="Hyperlink"/>
          </w:rPr>
          <w:t xml:space="preserve">Поиск организаций по адресу</w:t>
        </w:r>
      </w:hyperlink>
      <w:r>
        <w:t xml:space="preserve">.</w:t>
      </w:r>
    </w:p>
    <w:bookmarkEnd w:id="12"/>
    <w:bookmarkStart w:id="13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Часть параметров показывается только при наличии связанных модулей и прав администратора. Картографические координаты и сведения провайдера могут кэшироваться, поэтому после изменения карточки сбрасываются связанные служебные кэши.</w:t>
      </w:r>
    </w:p>
    <w:bookmarkEnd w:id="13"/>
    <w:bookmarkEnd w:id="14"/>
    <w:bookmarkStart w:id="19" w:name="поиск-организаций-по-адресу"/>
    <w:p>
      <w:pPr>
        <w:pStyle w:val="Heading2"/>
      </w:pPr>
      <w:r>
        <w:t xml:space="preserve">Поиск организаций по адресу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поддерживает расширенный поиск организаций по территориальным признакам из почтового адреса. Сценарий предназначен для администраторов и сотрудников, которые ведут справочник организаций и формируют списки учреждений по региону, району или населенному пункту.</w:t>
      </w:r>
    </w:p>
    <w:p>
      <w:pPr>
        <w:pStyle w:val="BodyText"/>
      </w:pPr>
      <w:r>
        <w:t xml:space="preserve">Адресные признаки хранятся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записи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Поле не повторяется, поэтому для одной организации используется один набор адресных значений.</w:t>
      </w:r>
    </w:p>
    <w:bookmarkStart w:id="15" w:name="адресные-поля"/>
    <w:p>
      <w:pPr>
        <w:pStyle w:val="Heading3"/>
      </w:pPr>
      <w:r>
        <w:t xml:space="preserve">1. Адресные поля</w:t>
      </w:r>
    </w:p>
    <w:p>
      <w:pPr>
        <w:pStyle w:val="FirstParagraph"/>
      </w:pPr>
      <w:r>
        <w:t xml:space="preserve">В карточке организации блок</w:t>
      </w:r>
      <w:r>
        <w:t xml:space="preserve"> </w:t>
      </w:r>
      <w:r>
        <w:rPr>
          <w:b/>
          <w:bCs/>
        </w:rPr>
        <w:t xml:space="preserve">Почтовый адрес организации</w:t>
      </w:r>
      <w:r>
        <w:t xml:space="preserve"> </w:t>
      </w:r>
      <w:r>
        <w:t xml:space="preserve">содержит, в том числе, следующие поля: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Город / населенный пункт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.</w:t>
      </w:r>
    </w:p>
    <w:p>
      <w:pPr>
        <w:pStyle w:val="FirstParagraph"/>
      </w:pPr>
      <w:r>
        <w:t xml:space="preserve">Эти значения используются как отдельные поисковые признаки. Чем точнее заполнены адресные поля, тем стабильнее результаты расширенного поиска.</w:t>
      </w:r>
    </w:p>
    <w:bookmarkEnd w:id="15"/>
    <w:bookmarkStart w:id="16" w:name="поисковые-атрибуты"/>
    <w:p>
      <w:pPr>
        <w:pStyle w:val="Heading3"/>
      </w:pPr>
      <w:r>
        <w:t xml:space="preserve">2. Поисковые атрибуты</w:t>
      </w:r>
    </w:p>
    <w:p>
      <w:pPr>
        <w:pStyle w:val="FirstParagraph"/>
      </w:pPr>
      <w:r>
        <w:t xml:space="preserve">В расширенном поиске организаций доступны атрибуты: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ORGREGION=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ORGDISTRICT=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Населённый пункт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ORGCITY=</w:t>
      </w:r>
      <w:r>
        <w:t xml:space="preserve">.</w:t>
      </w:r>
    </w:p>
    <w:p>
      <w:pPr>
        <w:pStyle w:val="FirstParagraph"/>
      </w:pPr>
      <w:r>
        <w:t xml:space="preserve">Атрибуты добавлены в список поисковых префиксов модуля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и передаются в общий механизм поиска через</w:t>
      </w:r>
      <w:r>
        <w:t xml:space="preserve"> </w:t>
      </w:r>
      <w:r>
        <w:rPr>
          <w:rStyle w:val="VerbatimChar"/>
        </w:rPr>
        <w:t xml:space="preserve">GetSearchList</w:t>
      </w:r>
      <w:r>
        <w:t xml:space="preserve">. Пользователь выбирает нужный атрибут в расширенном поиске и вводит значение адресного поля.</w:t>
      </w:r>
    </w:p>
    <w:bookmarkEnd w:id="16"/>
    <w:bookmarkStart w:id="17" w:name="поиск-по-ключевым-словам"/>
    <w:p>
      <w:pPr>
        <w:pStyle w:val="Heading3"/>
      </w:pPr>
      <w:r>
        <w:t xml:space="preserve">3. Поиск по ключевым словам</w:t>
      </w:r>
    </w:p>
    <w:p>
      <w:pPr>
        <w:pStyle w:val="FirstParagraph"/>
      </w:pPr>
      <w:r>
        <w:t xml:space="preserve">Адрес организации также должен учитываться в поиске по ключевым словам. Это позволяет находить организацию по фрагменту региона, района, города или населенного пункта без выбора отдельного адресного атрибута.</w:t>
      </w:r>
    </w:p>
    <w:p>
      <w:pPr>
        <w:pStyle w:val="BodyText"/>
      </w:pPr>
      <w:r>
        <w:t xml:space="preserve">Если организация не находится по адресу, проверьте:</w:t>
      </w:r>
    </w:p>
    <w:p>
      <w:pPr>
        <w:pStyle w:val="Compact"/>
        <w:numPr>
          <w:ilvl w:val="0"/>
          <w:numId w:val="1005"/>
        </w:numPr>
      </w:pPr>
      <w:r>
        <w:t xml:space="preserve">заполнено ли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в карточке организации;</w:t>
      </w:r>
    </w:p>
    <w:p>
      <w:pPr>
        <w:pStyle w:val="Compact"/>
        <w:numPr>
          <w:ilvl w:val="0"/>
          <w:numId w:val="1005"/>
        </w:numPr>
      </w:pPr>
      <w:r>
        <w:t xml:space="preserve">выполнена ли актуализация словаря и поисковых индексов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совпадает ли введенное значение с тем, как адрес записан в карточке.</w:t>
      </w:r>
    </w:p>
    <w:bookmarkEnd w:id="17"/>
    <w:bookmarkStart w:id="18" w:name="использование"/>
    <w:p>
      <w:pPr>
        <w:pStyle w:val="Heading3"/>
      </w:pPr>
      <w:r>
        <w:t xml:space="preserve">4. Использование</w:t>
      </w:r>
    </w:p>
    <w:p>
      <w:pPr>
        <w:pStyle w:val="FirstParagraph"/>
      </w:pPr>
      <w:r>
        <w:t xml:space="preserve">Откройте страницу управления организациями и используйте расширенный поиск:</w:t>
      </w:r>
    </w:p>
    <w:p>
      <w:pPr>
        <w:pStyle w:val="Compact"/>
        <w:numPr>
          <w:ilvl w:val="0"/>
          <w:numId w:val="1006"/>
        </w:numPr>
      </w:pPr>
      <w:r>
        <w:t xml:space="preserve">выберите атрибут</w:t>
      </w:r>
      <w:r>
        <w:t xml:space="preserve"> </w:t>
      </w:r>
      <w:r>
        <w:rPr>
          <w:b/>
          <w:bCs/>
        </w:rPr>
        <w:t xml:space="preserve">Регион</w:t>
      </w:r>
      <w:r>
        <w:t xml:space="preserve">,</w:t>
      </w:r>
      <w:r>
        <w:t xml:space="preserve"> </w:t>
      </w:r>
      <w:r>
        <w:rPr>
          <w:b/>
          <w:bCs/>
        </w:rPr>
        <w:t xml:space="preserve">Район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Населённый пункт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введите нужное значение;</w:t>
      </w:r>
    </w:p>
    <w:p>
      <w:pPr>
        <w:pStyle w:val="Compact"/>
        <w:numPr>
          <w:ilvl w:val="0"/>
          <w:numId w:val="1006"/>
        </w:numPr>
      </w:pPr>
      <w:r>
        <w:t xml:space="preserve">выполните поиск;</w:t>
      </w:r>
    </w:p>
    <w:p>
      <w:pPr>
        <w:pStyle w:val="Compact"/>
        <w:numPr>
          <w:ilvl w:val="0"/>
          <w:numId w:val="1006"/>
        </w:numPr>
      </w:pPr>
      <w:r>
        <w:t xml:space="preserve">при необходимости уточните результат дополнительными условиями, например статусом организации или названием.</w:t>
      </w:r>
    </w:p>
    <w:p>
      <w:pPr>
        <w:pStyle w:val="FirstParagraph"/>
      </w:pPr>
      <w:r>
        <w:t xml:space="preserve">Результат поиска ограничивается записями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, поэтому адресные признаки не смешиваются с другими типами записей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Organisations/Help/AddressSearc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Organisations/Help/AddressSearc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Организации</dc:title>
  <dc:creator/>
  <cp:keywords/>
  <dcterms:created xsi:type="dcterms:W3CDTF">2026-09-12T15:05:45Z</dcterms:created>
  <dcterms:modified xsi:type="dcterms:W3CDTF">2026-09-12T15:05:45Z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