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КСУ выбытия за период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су-выбытия-за-период"/>
    <w:p>
      <w:pPr>
        <w:pStyle w:val="Heading1"/>
      </w:pPr>
      <w:r>
        <w:t xml:space="preserve">КСУ выбытия за период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хранит записи книги суммарного учета выбытия за период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fs"/>
    <w:p>
      <w:pPr>
        <w:pStyle w:val="Heading2"/>
      </w:pPr>
      <w:r>
        <w:t xml:space="preserve">Назначение KSFS</w:t>
      </w:r>
    </w:p>
    <w:p>
      <w:pPr>
        <w:pStyle w:val="FirstParagraph"/>
      </w:pPr>
      <w:r>
        <w:rPr>
          <w:rStyle w:val="VerbatimChar"/>
        </w:rPr>
        <w:t xml:space="preserve">KSFS</w:t>
      </w:r>
      <w:r>
        <w:t xml:space="preserve"> </w:t>
      </w:r>
      <w:r>
        <w:t xml:space="preserve">является карточным модулем для записей КСУ выбытия за период. Он использует тип записи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КСУ выбытия за период</dc:title>
  <dc:creator/>
  <cp:keywords/>
  <dcterms:created xsi:type="dcterms:W3CDTF">2026-09-11T09:16:57Z</dcterms:created>
  <dcterms:modified xsi:type="dcterms:W3CDTF">2026-09-11T09:16:57Z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