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поступления за период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поступления-за-период"/>
    <w:p>
      <w:pPr>
        <w:pStyle w:val="Heading1"/>
      </w:pPr>
      <w:r>
        <w:t xml:space="preserve">КСУ поступления за период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хранит записи КСУ поступления за период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fp"/>
    <w:p>
      <w:pPr>
        <w:pStyle w:val="Heading2"/>
      </w:pPr>
      <w:r>
        <w:t xml:space="preserve">Назначение KSFP</w:t>
      </w:r>
    </w:p>
    <w:p>
      <w:pPr>
        <w:pStyle w:val="FirstParagraph"/>
      </w:pPr>
      <w:r>
        <w:rPr>
          <w:rStyle w:val="VerbatimChar"/>
        </w:rPr>
        <w:t xml:space="preserve">KSFP</w:t>
      </w:r>
      <w:r>
        <w:t xml:space="preserve"> </w:t>
      </w:r>
      <w:r>
        <w:t xml:space="preserve">является карточным модулем для записей книги суммарного учета поступления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KSFP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поступления за период</dc:title>
  <dc:creator/>
  <cp:keywords/>
  <dcterms:created xsi:type="dcterms:W3CDTF">2026-09-12T04:38:27Z</dcterms:created>
  <dcterms:modified xsi:type="dcterms:W3CDTF">2026-09-12T04:38:27Z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