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[I128-2170] Доступность модуля Ini через Ini::getInstance()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Xd4c8882e133d7a065b8e35689e9bd58877934ae"/>
    <w:p>
      <w:pPr>
        <w:pStyle w:val="Heading1"/>
      </w:pPr>
      <w:r>
        <w:t xml:space="preserve">[I128-2170] Доступность модуля Ini через Ini::getInstance()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Ini - Ini-файлы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Возможность обращения к модулю через UseModule сохранена.</w:t>
      </w:r>
    </w:p>
    <w:p>
      <w:pPr>
        <w:pStyle w:val="BodyText"/>
      </w:pPr>
      <w:r>
        <w:t xml:space="preserve">Цель функции - повысить читаемость кода для IDE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Start w:id="24" w:name="связанные-задачи"/>
    <w:p>
      <w:pPr>
        <w:pStyle w:val="Heading2"/>
      </w:pPr>
      <w:r>
        <w:t xml:space="preserve">1. Связанные задачи</w:t>
      </w:r>
    </w:p>
    <w:bookmarkStart w:id="23" w:name="соответствует-задача-i128-2174"/>
    <w:p>
      <w:pPr>
        <w:pStyle w:val="Heading3"/>
      </w:pPr>
      <w:r>
        <w:t xml:space="preserve">1.1. 🔗 Соответствует задача: I128-2174</w:t>
      </w:r>
    </w:p>
    <w:p>
      <w:pPr>
        <w:pStyle w:val="BlockText"/>
      </w:pPr>
      <w:hyperlink r:id="rId22">
        <w:r>
          <w:rPr>
            <w:rStyle w:val="Hyperlink"/>
            <w:b/>
            <w:bCs/>
          </w:rPr>
          <w:t xml:space="preserve">[I128-2174]</w:t>
        </w:r>
      </w:hyperlink>
      <w:r>
        <w:t xml:space="preserve"> </w:t>
      </w:r>
      <w:r>
        <w:t xml:space="preserve">Доступность модуля Ini через Ini::getInstance()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3"/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2" Target="?id=Help/Show&amp;m=Help/GeneralDescription/WhatsNew/I128/TaskInfo/I128-2174/README" TargetMode="Externa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?id=Help/Show&amp;m=Help/GeneralDescription/WhatsNew/I128/TaskInfo/I128-2174/README" TargetMode="Externa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[I128-2170] Доступность модуля Ini через Ini::getInstance()</dc:title>
  <dc:creator/>
  <cp:keywords/>
  <dcterms:created xsi:type="dcterms:W3CDTF">2026-09-12T02:45:49Z</dcterms:created>
  <dcterms:modified xsi:type="dcterms:W3CDTF">2026-09-12T02:45:49Z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