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[I128-2024] Внести изменения в БД VKR в соотвествии с версией 2026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be227cb88f06db4a8825d9b6bfa05074d07f3e"/>
    <w:p>
      <w:pPr>
        <w:pStyle w:val="Heading1"/>
      </w:pPr>
      <w:r>
        <w:t xml:space="preserve">[I128-2024] Внести изменения в БД VKR в соотвествии с версией 2026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15.01.2026 17:02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037"/>
    <w:p>
      <w:pPr>
        <w:pStyle w:val="Heading3"/>
      </w:pPr>
      <w:r>
        <w:t xml:space="preserve">1.1. 🔗 Соответствует задача: I128-2037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[I128-2037]</w:t>
        </w:r>
      </w:hyperlink>
      <w:r>
        <w:t xml:space="preserve"> </w:t>
      </w:r>
      <w:r>
        <w:t xml:space="preserve">Внести изменения в БД VKR в соотвествии с версией 2026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037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037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[I128-2024] Внести изменения в БД VKR в соотвествии с версией 2026</dc:title>
  <dc:creator/>
  <cp:keywords/>
  <dcterms:created xsi:type="dcterms:W3CDTF">2026-09-12T04:15:57Z</dcterms:created>
  <dcterms:modified xsi:type="dcterms:W3CDTF">2026-09-12T04:15:57Z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