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[I128-2389] Документировать действия явной паузы и запуска очереди задач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30230ad2f78ccd4e260ec010e74b6b859a3cc1"/>
    <w:p>
      <w:pPr>
        <w:pStyle w:val="Heading1"/>
      </w:pPr>
      <w:r>
        <w:t xml:space="preserve">[I128-2389] Документировать действия явной паузы и запуска очереди задач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15:17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Queue/AdminGuide/Monitoring</w:t>
      </w:r>
      <w:r>
        <w:t xml:space="preserve"> </w:t>
      </w:r>
      <w:r>
        <w:t xml:space="preserve">- в разделе управления состоянием очереди добавлено описание прямых действий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Документация уточняет разницу между кнопкой-переключателем на панели мониторинга и прямыми действиями для автоматизированных сценариев: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гарантированно переводит очередь в состояние паузы, а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гарантированно возобновляет обработку задач.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70"/>
    <w:p>
      <w:pPr>
        <w:pStyle w:val="Heading3"/>
      </w:pPr>
      <w:r>
        <w:t xml:space="preserve">1.1. 🔗 Соответствует задача: I128-2370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[I128-2370]</w:t>
        </w:r>
      </w:hyperlink>
      <w:r>
        <w:t xml:space="preserve"> </w:t>
      </w:r>
      <w:r>
        <w:t xml:space="preserve">Явное управление состоянием паузы в очереди задач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7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7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[I128-2389] Документировать действия явной паузы и запуска очереди задач</dc:title>
  <dc:creator/>
  <cp:keywords/>
  <dcterms:created xsi:type="dcterms:W3CDTF">2026-09-12T02:40:45Z</dcterms:created>
  <dcterms:modified xsi:type="dcterms:W3CDTF">2026-09-12T02:40:45Z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