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ieldconfiguration"/>
    <w:p>
      <w:pPr>
        <w:pStyle w:val="Heading1"/>
      </w:pPr>
      <w:r>
        <w:t xml:space="preserve">Назначение модуля FieldConfiguration</w:t>
      </w:r>
    </w:p>
    <w:p>
      <w:pPr>
        <w:pStyle w:val="FirstParagraph"/>
      </w:pPr>
      <w:r>
        <w:t xml:space="preserve">Модуль используется для настройки элементов редактора записи или настроек модуля. Каждая запись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описывает одно поле формы, а вложенные записи</w:t>
      </w:r>
      <w:r>
        <w:t xml:space="preserve"> </w:t>
      </w:r>
      <w:r>
        <w:rPr>
          <w:rStyle w:val="VerbatimChar"/>
        </w:rPr>
        <w:t xml:space="preserve">FieldItems</w:t>
      </w:r>
      <w:r>
        <w:t xml:space="preserve"> </w:t>
      </w:r>
      <w:r>
        <w:t xml:space="preserve">описывают дочерние элементы сложных редакторов.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задать тип поля: настройки модуля или поле записи;</w:t>
      </w:r>
    </w:p>
    <w:p>
      <w:pPr>
        <w:pStyle w:val="Compact"/>
        <w:numPr>
          <w:ilvl w:val="0"/>
          <w:numId w:val="1001"/>
        </w:numPr>
      </w:pPr>
      <w:r>
        <w:t xml:space="preserve">указать тип записи или имя модуля, для которого действует настройка;</w:t>
      </w:r>
    </w:p>
    <w:p>
      <w:pPr>
        <w:pStyle w:val="Compact"/>
        <w:numPr>
          <w:ilvl w:val="0"/>
          <w:numId w:val="1001"/>
        </w:numPr>
      </w:pPr>
      <w:r>
        <w:t xml:space="preserve">связать настройку с именем переменной;</w:t>
      </w:r>
    </w:p>
    <w:p>
      <w:pPr>
        <w:pStyle w:val="Compact"/>
        <w:numPr>
          <w:ilvl w:val="0"/>
          <w:numId w:val="1001"/>
        </w:numPr>
      </w:pPr>
      <w:r>
        <w:t xml:space="preserve">выбрать тип редактора: строка, дата, число, список,</w:t>
      </w:r>
      <w:r>
        <w:t xml:space="preserve"> </w:t>
      </w:r>
      <w:r>
        <w:rPr>
          <w:rStyle w:val="VerbatimChar"/>
        </w:rPr>
        <w:t xml:space="preserve">SelectMnu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, панель, вкладки и другие варианты;</w:t>
      </w:r>
    </w:p>
    <w:p>
      <w:pPr>
        <w:pStyle w:val="Compact"/>
        <w:numPr>
          <w:ilvl w:val="0"/>
          <w:numId w:val="1001"/>
        </w:numPr>
      </w:pPr>
      <w:r>
        <w:t xml:space="preserve">настроить заголовок, значение по умолчанию и подсказку при вводе;</w:t>
      </w:r>
    </w:p>
    <w:p>
      <w:pPr>
        <w:pStyle w:val="Compact"/>
        <w:numPr>
          <w:ilvl w:val="0"/>
          <w:numId w:val="1001"/>
        </w:numPr>
      </w:pPr>
      <w:r>
        <w:t xml:space="preserve">привязать редактор к полю, повторению и подполю записи;</w:t>
      </w:r>
    </w:p>
    <w:p>
      <w:pPr>
        <w:pStyle w:val="Compact"/>
        <w:numPr>
          <w:ilvl w:val="0"/>
          <w:numId w:val="1001"/>
        </w:numPr>
      </w:pPr>
      <w:r>
        <w:t xml:space="preserve">описать вложенные поля для сложных редакторов;</w:t>
      </w:r>
    </w:p>
    <w:p>
      <w:pPr>
        <w:pStyle w:val="Compact"/>
        <w:numPr>
          <w:ilvl w:val="0"/>
          <w:numId w:val="1001"/>
        </w:numPr>
      </w:pPr>
      <w:r>
        <w:t xml:space="preserve">задать визуальные свойства: скрытие, блокировку, сворачивание, стили, layout, flex и дополнительные параметры;</w:t>
      </w:r>
    </w:p>
    <w:p>
      <w:pPr>
        <w:pStyle w:val="Compact"/>
        <w:numPr>
          <w:ilvl w:val="0"/>
          <w:numId w:val="1001"/>
        </w:numPr>
      </w:pPr>
      <w:r>
        <w:t xml:space="preserve">описать JavaScript-события и настройки выпадающего списка из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bookmarkEnd w:id="9"/>
    <w:bookmarkStart w:id="10" w:name="сохранение-конфигурации"/>
    <w:p>
      <w:pPr>
        <w:pStyle w:val="Heading2"/>
      </w:pPr>
      <w:r>
        <w:t xml:space="preserve">2. Сохранение конфигурации</w:t>
      </w:r>
    </w:p>
    <w:p>
      <w:pPr>
        <w:pStyle w:val="FirstParagraph"/>
      </w:pPr>
      <w:r>
        <w:t xml:space="preserve">После сохранения записи модуль собирает управляемые значения и записывает их в файл: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Внутри файла хранится сериализованный массив настроек по имени переменной. Эти настройки затем читает модуль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через функцию</w:t>
      </w:r>
      <w:r>
        <w:t xml:space="preserve"> </w:t>
      </w:r>
      <w:r>
        <w:rPr>
          <w:rStyle w:val="VerbatimChar"/>
        </w:rPr>
        <w:t xml:space="preserve">ReadFConfig</w:t>
      </w:r>
      <w:r>
        <w:t xml:space="preserve">.</w:t>
      </w:r>
    </w:p>
    <w:bookmarkEnd w:id="10"/>
    <w:bookmarkStart w:id="11" w:name="связанные-механизмы"/>
    <w:p>
      <w:pPr>
        <w:pStyle w:val="Heading2"/>
      </w:pPr>
      <w:r>
        <w:t xml:space="preserve">3. Связанные механизмы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Admin/CreateDefaultRecordFieldOptoions</w:t>
      </w:r>
      <w:r>
        <w:t xml:space="preserve"> </w:t>
      </w:r>
      <w:r>
        <w:t xml:space="preserve">может создавать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автоматически по описанию редактора. Для сложных редакторов, например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OneRowTable</w:t>
      </w:r>
      <w:r>
        <w:t xml:space="preserve">, создаются вложенные записи</w:t>
      </w:r>
      <w:r>
        <w:t xml:space="preserve"> </w:t>
      </w:r>
      <w:r>
        <w:rPr>
          <w:rStyle w:val="VerbatimChar"/>
        </w:rPr>
        <w:t xml:space="preserve">FieldItems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FIELDCFG</w:t>
      </w:r>
      <w:r>
        <w:t xml:space="preserve"> </w:t>
      </w:r>
      <w:r>
        <w:t xml:space="preserve">строится по значениям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, поэтому эти поля должны быть заполнены осмысленно.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FieldConfiguration</dc:title>
  <dc:creator/>
  <cp:keywords/>
  <dcterms:created xsi:type="dcterms:W3CDTF">2026-09-11T05:16:46Z</dcterms:created>
  <dcterms:modified xsi:type="dcterms:W3CDTF">2026-09-11T05:16:46Z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