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&amp;uf(’+... - Преобразование строки, удваивающее обратный слэш, или обратное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b5ae3cf0b8f0b7ab861f4148339b81bc468931f"/>
    <w:p>
      <w:pPr>
        <w:pStyle w:val="Heading1"/>
      </w:pPr>
      <w:r>
        <w:t xml:space="preserve">&amp;uf(’+... - Преобразование строки, удваивающее обратный слэш, или обратное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Преобразование строки, удваивающее обратный слэш, или обратное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+\N&lt;строка&gt;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N может принимать значения</w:t>
      </w:r>
      <w:r>
        <w:t xml:space="preserve"> </w:t>
      </w:r>
      <w:r>
        <w:t xml:space="preserve">* 0 - удвоение знаков обратного слэш;</w:t>
      </w:r>
      <w:r>
        <w:t xml:space="preserve"> </w:t>
      </w:r>
      <w:r>
        <w:t xml:space="preserve">* 1 - преобразование удвоенных знаков слэш в одинарные.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&amp;uf('+\0c:\example.txt')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c:\\example.txt</w:t>
      </w:r>
    </w:p>
    <w:p>
      <w:pPr>
        <w:pStyle w:val="FirstParagraph"/>
      </w:pPr>
      <w:r>
        <w:t xml:space="preserve">Результатом формата</w:t>
      </w:r>
    </w:p>
    <w:p>
      <w:pPr>
        <w:pStyle w:val="SourceCode"/>
      </w:pPr>
      <w:r>
        <w:rPr>
          <w:rStyle w:val="VerbatimChar"/>
        </w:rPr>
        <w:t xml:space="preserve">&amp;uf('+\1c:\\example.txt')</w:t>
      </w:r>
    </w:p>
    <w:p>
      <w:pPr>
        <w:pStyle w:val="FirstParagraph"/>
      </w:pPr>
      <w:r>
        <w:t xml:space="preserve">будет строка</w:t>
      </w:r>
    </w:p>
    <w:p>
      <w:pPr>
        <w:pStyle w:val="SourceCode"/>
      </w:pPr>
      <w:r>
        <w:rPr>
          <w:rStyle w:val="NormalTok"/>
        </w:rPr>
        <w:t xml:space="preserve">c:\example.txt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&amp;uf(’+... - Преобразование строки, удваивающее обратный слэш, или обратное</dc:title>
  <dc:creator/>
  <cp:keywords/>
  <dcterms:created xsi:type="dcterms:W3CDTF">2026-09-03T02:50:15Z</dcterms:created>
  <dcterms:modified xsi:type="dcterms:W3CDTF">2026-09-03T02:50:15Z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