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[I128-2117] Если в I128FMail::MailHTTP в качестве аттача передан несуществующий путь - то отправляется письмо с пустым аттачем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55ccfdb4c4b5b582a62acd7cb0ff1d685e402"/>
    <w:p>
      <w:pPr>
        <w:pStyle w:val="Heading1"/>
      </w:pPr>
      <w:r>
        <w:t xml:space="preserve">[I128-2117] Если в I128FMail::MailHTTP в качестве аттача передан несуществующий путь - то отправляется письмо с пустым аттачем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[I128-2117] Если в I128FMail::MailHTTP в качестве аттача передан несуществующий путь - то отправляется письмо с пустым аттачем</dc:title>
  <dc:creator/>
  <cp:keywords/>
  <dcterms:created xsi:type="dcterms:W3CDTF">2026-09-02T06:45:18Z</dcterms:created>
  <dcterms:modified xsi:type="dcterms:W3CDTF">2026-09-02T06:45:18Z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