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DP_raidb0 используется для логического объединения нескольких баз данных в одну виртуальную базу. В настройках провайдера задается список подчиненных БД, веса чтения и записи. При поиске модуль последовательно обращается к подчиненным базам, суммирует количество найденных записей и маркирует MFN префиксом базы. При чтении и записи составной MFN разбирается обратно на</w:t>
      </w:r>
      <w:r>
        <w:t xml:space="preserve"> </w:t>
      </w:r>
      <w:r>
        <w:rPr>
          <w:rStyle w:val="VerbatimChar"/>
        </w:rPr>
        <w:t xml:space="preserve">dbid</w:t>
      </w:r>
      <w:r>
        <w:t xml:space="preserve"> </w:t>
      </w:r>
      <w:r>
        <w:t xml:space="preserve">и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.</w:t>
      </w:r>
    </w:p>
    <w:p>
      <w:pPr>
        <w:pStyle w:val="BodyText"/>
      </w:pPr>
      <w:r>
        <w:t xml:space="preserve">Основные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SUBDBS_COUNT</w:t>
      </w:r>
      <w:r>
        <w:t xml:space="preserve"> </w:t>
      </w:r>
      <w:r>
        <w:t xml:space="preserve">- количество подчиненных баз.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SUBDBSCFG_N_NAME</w:t>
      </w:r>
      <w:r>
        <w:t xml:space="preserve"> </w:t>
      </w:r>
      <w:r>
        <w:t xml:space="preserve">- идентификатор подчиненной базы;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исключает базу из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SUBDBSCFG_N_READWEIGHT</w:t>
      </w:r>
      <w:r>
        <w:t xml:space="preserve"> </w:t>
      </w:r>
      <w:r>
        <w:t xml:space="preserve">- вес базы при чтении и поиске.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SUBDBSCFG_N_WRITEWEIGHT</w:t>
      </w:r>
      <w:r>
        <w:t xml:space="preserve"> </w:t>
      </w:r>
      <w:r>
        <w:t xml:space="preserve">- вес базы при распределении новых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SRCPOSTFIX</w:t>
      </w:r>
      <w:r>
        <w:t xml:space="preserve"> </w:t>
      </w:r>
      <w:r>
        <w:t xml:space="preserve">- общие параметры провайдера.</w:t>
      </w:r>
    </w:p>
    <w:p>
      <w:pPr>
        <w:pStyle w:val="FirstParagraph"/>
      </w:pPr>
      <w:r>
        <w:t xml:space="preserve">Дополнительно может использоваться глобальная настройка</w:t>
      </w:r>
      <w:r>
        <w:t xml:space="preserve"> </w:t>
      </w:r>
      <w:r>
        <w:rPr>
          <w:rStyle w:val="VerbatimChar"/>
        </w:rPr>
        <w:t xml:space="preserve">OPTIONS['BindSearches']</w:t>
      </w:r>
      <w:r>
        <w:t xml:space="preserve">: она ограничивает список подчиненных БД для отдельных поисковых выражений.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Выбор баз и идентификаторов:</w:t>
      </w:r>
      <w:r>
        <w:t xml:space="preserve"> </w:t>
      </w:r>
      <w:r>
        <w:rPr>
          <w:rStyle w:val="VerbatimChar"/>
        </w:rPr>
        <w:t xml:space="preserve">GetDbListBySearch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не хранит записи самостоятельно; он маршрутизирует операции в реальные базы через</w:t>
      </w:r>
      <w:r>
        <w:t xml:space="preserve"> </w:t>
      </w:r>
      <w:r>
        <w:rPr>
          <w:rStyle w:val="VerbatimChar"/>
        </w:rPr>
        <w:t xml:space="preserve">i128f-&gt;GetDb()</w:t>
      </w:r>
      <w:r>
        <w:t xml:space="preserve">. Проверки Help не должны выполнять реальные поисковые или записывающие операции в подчиненных БД.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Help/ModuleRoot&amp;module=DP_raidb0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2026-09-02T07:28:01Z</dcterms:created>
  <dcterms:modified xsi:type="dcterms:W3CDTF">2026-09-02T07:28:01Z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