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[I128-2141] В формате ibis922.pft128 не учитывается, что v701^B может быть не задано.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7f46fe9676d1752e24ee22379caeed85f5a668"/>
    <w:p>
      <w:pPr>
        <w:pStyle w:val="Heading1"/>
      </w:pPr>
      <w:r>
        <w:t xml:space="preserve">[I128-2141] В формате ibis922.pft128 не учитывается, что v701^B может быть не задано.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17:42</w:t>
      </w:r>
    </w:p>
    <w:p>
      <w:pPr>
        <w:pStyle w:val="BodyText"/>
      </w:pPr>
      <w:r>
        <w:t xml:space="preserve">В формате ibis922.pft128 не учитывается, что v701^B может быть не задано.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[I128-2141] В формате ibis922.pft128 не учитывается, что v701^B может быть не задано.</dc:title>
  <dc:creator/>
  <cp:keywords/>
  <dcterms:created xsi:type="dcterms:W3CDTF">2026-09-06T17:12:58Z</dcterms:created>
  <dcterms:modified xsi:type="dcterms:W3CDTF">2026-09-06T17:12:58Z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