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и сценарии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назначение-и-сценарии"/>
    <w:p>
      <w:pPr>
        <w:pStyle w:val="Heading1"/>
      </w:pPr>
      <w:r>
        <w:t xml:space="preserve">Назначение и сценарии</w:t>
      </w:r>
    </w:p>
    <w:p>
      <w:pPr>
        <w:pStyle w:val="FirstParagraph"/>
      </w:pPr>
      <w:r>
        <w:rPr>
          <w:rStyle w:val="VerbatimChar"/>
        </w:rPr>
        <w:t xml:space="preserve">Organisations</w:t>
      </w:r>
      <w:r>
        <w:t xml:space="preserve"> </w:t>
      </w:r>
      <w:r>
        <w:t xml:space="preserve">является справочником организаций-участников и точкой настройки их взаимодействия с другими модулями. Запись организации содержит идентификаторы, название, адрес, статус, базы данных, контакты ответственных лиц и флаги подключенных подсистем.</w:t>
      </w:r>
    </w:p>
    <w:bookmarkStart w:id="9" w:name="сценарии"/>
    <w:p>
      <w:pPr>
        <w:pStyle w:val="Heading2"/>
      </w:pPr>
      <w:r>
        <w:t xml:space="preserve">1. Сценарии</w:t>
      </w:r>
    </w:p>
    <w:p>
      <w:pPr>
        <w:pStyle w:val="Compact"/>
        <w:numPr>
          <w:ilvl w:val="0"/>
          <w:numId w:val="1001"/>
        </w:numPr>
      </w:pPr>
      <w:r>
        <w:t xml:space="preserve">администратор создает или редактирует карточку организации;</w:t>
      </w:r>
    </w:p>
    <w:p>
      <w:pPr>
        <w:pStyle w:val="Compact"/>
        <w:numPr>
          <w:ilvl w:val="0"/>
          <w:numId w:val="1001"/>
        </w:numPr>
      </w:pPr>
      <w:r>
        <w:t xml:space="preserve">система ищет организацию по</w:t>
      </w:r>
      <w:r>
        <w:t xml:space="preserve"> </w:t>
      </w:r>
      <w:r>
        <w:rPr>
          <w:rStyle w:val="VerbatimChar"/>
        </w:rPr>
        <w:t xml:space="preserve">ORGSIGLA</w:t>
      </w:r>
      <w:r>
        <w:t xml:space="preserve">,</w:t>
      </w:r>
      <w:r>
        <w:t xml:space="preserve"> </w:t>
      </w:r>
      <w:r>
        <w:rPr>
          <w:rStyle w:val="VerbatimChar"/>
        </w:rPr>
        <w:t xml:space="preserve">ORGNAME</w:t>
      </w:r>
      <w:r>
        <w:t xml:space="preserve">,</w:t>
      </w:r>
      <w:r>
        <w:t xml:space="preserve"> </w:t>
      </w:r>
      <w:r>
        <w:rPr>
          <w:rStyle w:val="VerbatimChar"/>
        </w:rPr>
        <w:t xml:space="preserve">ORGSTATUS</w:t>
      </w:r>
      <w:r>
        <w:t xml:space="preserve"> </w:t>
      </w:r>
      <w:r>
        <w:t xml:space="preserve">и другим индексам;</w:t>
      </w:r>
    </w:p>
    <w:p>
      <w:pPr>
        <w:pStyle w:val="Compact"/>
        <w:numPr>
          <w:ilvl w:val="0"/>
          <w:numId w:val="1001"/>
        </w:numPr>
      </w:pPr>
      <w:r>
        <w:t xml:space="preserve">администратор фильтрует организации по региону, району и населенному пункту из поля почтового адреса;</w:t>
      </w:r>
    </w:p>
    <w:p>
      <w:pPr>
        <w:pStyle w:val="Compact"/>
        <w:numPr>
          <w:ilvl w:val="0"/>
          <w:numId w:val="1001"/>
        </w:numPr>
      </w:pPr>
      <w:r>
        <w:t xml:space="preserve">модули</w:t>
      </w:r>
      <w:r>
        <w:t xml:space="preserve"> </w:t>
      </w:r>
      <w:r>
        <w:rPr>
          <w:rStyle w:val="VerbatimChar"/>
        </w:rPr>
        <w:t xml:space="preserve">CSpider</w:t>
      </w:r>
      <w:r>
        <w:t xml:space="preserve">,</w:t>
      </w:r>
      <w:r>
        <w:t xml:space="preserve"> </w:t>
      </w:r>
      <w:r>
        <w:rPr>
          <w:rStyle w:val="VerbatimChar"/>
        </w:rPr>
        <w:t xml:space="preserve">Exemplator</w:t>
      </w:r>
      <w:r>
        <w:t xml:space="preserve">,</w:t>
      </w:r>
      <w:r>
        <w:t xml:space="preserve"> </w:t>
      </w:r>
      <w:r>
        <w:rPr>
          <w:rStyle w:val="VerbatimChar"/>
        </w:rPr>
        <w:t xml:space="preserve">EDD</w:t>
      </w:r>
      <w:r>
        <w:t xml:space="preserve">,</w:t>
      </w:r>
      <w:r>
        <w:t xml:space="preserve"> </w:t>
      </w:r>
      <w:r>
        <w:rPr>
          <w:rStyle w:val="VerbatimChar"/>
        </w:rPr>
        <w:t xml:space="preserve">YandexMap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 </w:t>
      </w:r>
      <w:r>
        <w:t xml:space="preserve">и другие читают из карточки организации свои настройки;</w:t>
      </w:r>
    </w:p>
    <w:p>
      <w:pPr>
        <w:pStyle w:val="Compact"/>
        <w:numPr>
          <w:ilvl w:val="0"/>
          <w:numId w:val="1001"/>
        </w:numPr>
      </w:pPr>
      <w:r>
        <w:t xml:space="preserve">для организации создаются связи с базами данных и пользователями;</w:t>
      </w:r>
    </w:p>
    <w:p>
      <w:pPr>
        <w:pStyle w:val="Compact"/>
        <w:numPr>
          <w:ilvl w:val="0"/>
          <w:numId w:val="1001"/>
        </w:numPr>
      </w:pPr>
      <w:r>
        <w:t xml:space="preserve">служебные действия подготавливают профиль книговыдачи и очищают кэш сведений об организации.</w:t>
      </w:r>
    </w:p>
    <w:bookmarkEnd w:id="9"/>
    <w:bookmarkStart w:id="11" w:name="данные"/>
    <w:p>
      <w:pPr>
        <w:pStyle w:val="Heading2"/>
      </w:pPr>
      <w:r>
        <w:t xml:space="preserve">2. Данные</w:t>
      </w:r>
    </w:p>
    <w:p>
      <w:pPr>
        <w:pStyle w:val="FirstParagraph"/>
      </w:pPr>
      <w:r>
        <w:t xml:space="preserve">Основной тип записи:</w:t>
      </w:r>
      <w:r>
        <w:t xml:space="preserve"> </w:t>
      </w:r>
      <w:r>
        <w:rPr>
          <w:rStyle w:val="VerbatimChar"/>
        </w:rPr>
        <w:t xml:space="preserve">ORGANISATION</w:t>
      </w:r>
      <w:r>
        <w:t xml:space="preserve">. Важные поля: сигла и название в поле</w:t>
      </w:r>
      <w:r>
        <w:t xml:space="preserve"> </w:t>
      </w:r>
      <w:r>
        <w:rPr>
          <w:rStyle w:val="VerbatimChar"/>
        </w:rPr>
        <w:t xml:space="preserve">1</w:t>
      </w:r>
      <w:r>
        <w:t xml:space="preserve">, параметры ЭДД в поле</w:t>
      </w:r>
      <w:r>
        <w:t xml:space="preserve"> </w:t>
      </w:r>
      <w:r>
        <w:rPr>
          <w:rStyle w:val="VerbatimChar"/>
        </w:rPr>
        <w:t xml:space="preserve">2</w:t>
      </w:r>
      <w:r>
        <w:t xml:space="preserve">, администратор и руководитель в полях</w:t>
      </w:r>
      <w:r>
        <w:t xml:space="preserve"> </w:t>
      </w:r>
      <w:r>
        <w:rPr>
          <w:rStyle w:val="VerbatimChar"/>
        </w:rPr>
        <w:t xml:space="preserve">3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4</w:t>
      </w:r>
      <w:r>
        <w:t xml:space="preserve">, настройки экземплярного учета и импорта в полях</w:t>
      </w:r>
      <w:r>
        <w:t xml:space="preserve"> </w:t>
      </w:r>
      <w:r>
        <w:rPr>
          <w:rStyle w:val="VerbatimChar"/>
        </w:rPr>
        <w:t xml:space="preserve">5</w:t>
      </w:r>
      <w:r>
        <w:t xml:space="preserve">-</w:t>
      </w:r>
      <w:r>
        <w:rPr>
          <w:rStyle w:val="VerbatimChar"/>
        </w:rPr>
        <w:t xml:space="preserve">10</w:t>
      </w:r>
      <w:r>
        <w:t xml:space="preserve">, внешние идентификаторы в поле</w:t>
      </w:r>
      <w:r>
        <w:t xml:space="preserve"> </w:t>
      </w:r>
      <w:r>
        <w:rPr>
          <w:rStyle w:val="VerbatimChar"/>
        </w:rPr>
        <w:t xml:space="preserve">13</w:t>
      </w:r>
      <w:r>
        <w:t xml:space="preserve">, настройки синхронизации в поле</w:t>
      </w:r>
      <w:r>
        <w:t xml:space="preserve"> </w:t>
      </w:r>
      <w:r>
        <w:rPr>
          <w:rStyle w:val="VerbatimChar"/>
        </w:rPr>
        <w:t xml:space="preserve">14</w:t>
      </w:r>
      <w:r>
        <w:t xml:space="preserve">.</w:t>
      </w:r>
    </w:p>
    <w:p>
      <w:pPr>
        <w:pStyle w:val="BodyText"/>
      </w:pPr>
      <w:r>
        <w:t xml:space="preserve">Почтовый адрес организации хранится в поле</w:t>
      </w:r>
      <w:r>
        <w:t xml:space="preserve"> </w:t>
      </w:r>
      <w:r>
        <w:rPr>
          <w:rStyle w:val="VerbatimChar"/>
        </w:rPr>
        <w:t xml:space="preserve">719</w:t>
      </w:r>
      <w:r>
        <w:t xml:space="preserve">. Для расширенного поиска используются подполе</w:t>
      </w:r>
      <w:r>
        <w:t xml:space="preserve"> </w:t>
      </w:r>
      <w:r>
        <w:rPr>
          <w:rStyle w:val="VerbatimChar"/>
        </w:rPr>
        <w:t xml:space="preserve">719^B</w:t>
      </w:r>
      <w:r>
        <w:t xml:space="preserve"> </w:t>
      </w:r>
      <w:r>
        <w:t xml:space="preserve">(</w:t>
      </w:r>
      <w:r>
        <w:rPr>
          <w:b/>
          <w:bCs/>
        </w:rPr>
        <w:t xml:space="preserve">Регион</w:t>
      </w:r>
      <w:r>
        <w:t xml:space="preserve">),</w:t>
      </w:r>
      <w:r>
        <w:t xml:space="preserve"> </w:t>
      </w:r>
      <w:r>
        <w:rPr>
          <w:rStyle w:val="VerbatimChar"/>
        </w:rPr>
        <w:t xml:space="preserve">719^C</w:t>
      </w:r>
      <w:r>
        <w:t xml:space="preserve"> </w:t>
      </w:r>
      <w:r>
        <w:t xml:space="preserve">(</w:t>
      </w:r>
      <w:r>
        <w:rPr>
          <w:b/>
          <w:bCs/>
        </w:rPr>
        <w:t xml:space="preserve">Район</w:t>
      </w:r>
      <w:r>
        <w:t xml:space="preserve">) и</w:t>
      </w:r>
      <w:r>
        <w:t xml:space="preserve"> </w:t>
      </w:r>
      <w:r>
        <w:rPr>
          <w:rStyle w:val="VerbatimChar"/>
        </w:rPr>
        <w:t xml:space="preserve">719^D</w:t>
      </w:r>
      <w:r>
        <w:t xml:space="preserve"> </w:t>
      </w:r>
      <w:r>
        <w:t xml:space="preserve">(</w:t>
      </w:r>
      <w:r>
        <w:rPr>
          <w:b/>
          <w:bCs/>
        </w:rPr>
        <w:t xml:space="preserve">Город / населенный пункт</w:t>
      </w:r>
      <w:r>
        <w:t xml:space="preserve">). Подробнее см. раздел</w:t>
      </w:r>
      <w:r>
        <w:t xml:space="preserve"> </w:t>
      </w:r>
      <w:hyperlink r:id="rId10">
        <w:r>
          <w:rPr>
            <w:rStyle w:val="Hyperlink"/>
          </w:rPr>
          <w:t xml:space="preserve">Поиск организаций по адресу</w:t>
        </w:r>
      </w:hyperlink>
      <w:r>
        <w:t xml:space="preserve">.</w:t>
      </w:r>
    </w:p>
    <w:bookmarkEnd w:id="11"/>
    <w:bookmarkStart w:id="12" w:name="ограничения"/>
    <w:p>
      <w:pPr>
        <w:pStyle w:val="Heading2"/>
      </w:pPr>
      <w:r>
        <w:t xml:space="preserve">3. Ограничения</w:t>
      </w:r>
    </w:p>
    <w:p>
      <w:pPr>
        <w:pStyle w:val="FirstParagraph"/>
      </w:pPr>
      <w:r>
        <w:t xml:space="preserve">Часть параметров показывается только при наличии связанных модулей и прав администратора. Картографические координаты и сведения провайдера могут кэшироваться, поэтому после изменения карточки сбрасываются связанные служебные кэши.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Organisations/Help/AddressSearch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Organisations/Help/AddressSearch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и сценарии</dc:title>
  <dc:creator/>
  <cp:keywords/>
  <dcterms:created xsi:type="dcterms:W3CDTF">2026-09-04T18:09:58Z</dcterms:created>
  <dcterms:modified xsi:type="dcterms:W3CDTF">2026-09-04T18:09:58Z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