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лобальные-константы"/>
    <w:p>
      <w:pPr>
        <w:pStyle w:val="Heading1"/>
      </w:pPr>
      <w:r>
        <w:t xml:space="preserve">Глобальные константы</w:t>
      </w:r>
    </w:p>
    <w:p>
      <w:pPr>
        <w:pStyle w:val="FirstParagraph"/>
      </w:pPr>
      <w:r>
        <w:t xml:space="preserve">Глобальные константы подключаются из файла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 Ниже перечислены базовые коды и константы путей, которые использовались в исходном описании ядра.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Константа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ER_POINTER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ER_NOTCONNECTED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APATH_SYS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APATH_DATAI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APATH_MST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APATH_IF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Полный список констант см. в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; он включает коды ошибок, команды протокола ИРБИС, размеры пакетов и служебные разделители.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константы</dc:title>
  <dc:creator/>
  <cp:keywords/>
  <dcterms:created xsi:type="dcterms:W3CDTF">2026-09-03T13:16:23Z</dcterms:created>
  <dcterms:modified xsi:type="dcterms:W3CDTF">2026-09-03T13:16:23Z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