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[I128-2178] Состояние подключения i128f и кэш открытых баз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3221a94ea0fcf9b6c46d74787fdaab4b8b07"/>
    <w:p>
      <w:pPr>
        <w:pStyle w:val="Heading1"/>
      </w:pPr>
      <w:r>
        <w:t xml:space="preserve">[I128-2178] Состояние подключения i128f и кэш открытых баз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i128f/State</w:t>
      </w:r>
      <w:r>
        <w:t xml:space="preserve"> </w:t>
      </w:r>
      <w:r>
        <w:t xml:space="preserve">- технический раздел о служебном состоянии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 флагах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,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,</w:t>
      </w:r>
      <w:r>
        <w:t xml:space="preserve"> </w:t>
      </w:r>
      <w:r>
        <w:rPr>
          <w:rStyle w:val="VerbatimChar"/>
        </w:rPr>
        <w:t xml:space="preserve">$debugmode</w:t>
      </w:r>
      <w:r>
        <w:t xml:space="preserve">, кэше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и публичных методах доступа к провайдеру и базам.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i128f/State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состоянии подключения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кэше открытых баз. В разделе описано, какие начальные значения получают служебные свойства, как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 </w:t>
      </w:r>
      <w:r>
        <w:t xml:space="preserve">защищает повторное подключение, когда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провайдер, и как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для повторного использования объектов баз.</w:t>
      </w:r>
    </w:p>
    <w:p>
      <w:pPr>
        <w:pStyle w:val="BodyText"/>
      </w:pPr>
      <w:r>
        <w:t xml:space="preserve">Документация помогает читать технический контракт модуля без прямого обращения к его внутренним свойствам.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2"/>
    <w:p>
      <w:pPr>
        <w:pStyle w:val="Heading3"/>
      </w:pPr>
      <w:r>
        <w:t xml:space="preserve">1.1. 🔗 Соответствует задача: I128-2162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[I128-2162]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[I128-2178] Состояние подключения i128f и кэш открытых баз</dc:title>
  <dc:creator/>
  <cp:keywords/>
  <dcterms:created xsi:type="dcterms:W3CDTF">2026-09-04T01:21:56Z</dcterms:created>
  <dcterms:modified xsi:type="dcterms:W3CDTF">2026-09-04T01:21:56Z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