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[I128-2124] Количественные характеристики поддержка римских цифр в страницах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4e6b449a82f7019cb786a544cfada22a40aba4"/>
    <w:p>
      <w:pPr>
        <w:pStyle w:val="Heading1"/>
      </w:pPr>
      <w:r>
        <w:t xml:space="preserve">[I128-2124] Количественные характеристики поддержка римских цифр в страницах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rPr>
          <w:b/>
          <w:bCs/>
        </w:rPr>
        <w:t xml:space="preserve">ГОСТ Р 7.0.100–2018 Стр. 52</w:t>
      </w:r>
    </w:p>
    <w:p>
      <w:pPr>
        <w:pStyle w:val="BodyText"/>
      </w:pPr>
      <w:r>
        <w:t xml:space="preserve">5.6.3 Сведения об объеме (обязательный элемент)</w:t>
      </w:r>
    </w:p>
    <w:p>
      <w:pPr>
        <w:pStyle w:val="BodyText"/>
      </w:pPr>
      <w:r>
        <w:t xml:space="preserve">Состав и характер сведений об объеме зависят от вида ресурса и количества</w:t>
      </w:r>
    </w:p>
    <w:p>
      <w:pPr>
        <w:pStyle w:val="BodyText"/>
      </w:pPr>
      <w:r>
        <w:t xml:space="preserve">физических или других единиц измерения объема, из которых состоит ресурс.</w:t>
      </w:r>
    </w:p>
    <w:p>
      <w:pPr>
        <w:pStyle w:val="BodyText"/>
      </w:pPr>
      <w:r>
        <w:t xml:space="preserve">5.6.3.1 Для печатного книжного и журнального издания, состоящего из одной</w:t>
      </w:r>
    </w:p>
    <w:p>
      <w:pPr>
        <w:pStyle w:val="BodyText"/>
      </w:pPr>
      <w:r>
        <w:t xml:space="preserve">физической единицы, в качестве сведений об объеме приводят данные о</w:t>
      </w:r>
    </w:p>
    <w:p>
      <w:pPr>
        <w:pStyle w:val="BodyText"/>
      </w:pPr>
      <w:r>
        <w:t xml:space="preserve">пагинации. Эти сведения приводят теми цифрами (римскими или арабскими) и/или</w:t>
      </w:r>
    </w:p>
    <w:p>
      <w:pPr>
        <w:pStyle w:val="BodyText"/>
      </w:pPr>
      <w:r>
        <w:t xml:space="preserve">буквами, которые использованы в объекте описания. Указывают номер последней</w:t>
      </w:r>
    </w:p>
    <w:p>
      <w:pPr>
        <w:pStyle w:val="BodyText"/>
      </w:pPr>
      <w:r>
        <w:t xml:space="preserve">нумерованной страницы (листа, столбца, отдельного листа или кадра).</w:t>
      </w:r>
    </w:p>
    <w:p>
      <w:pPr>
        <w:pStyle w:val="BodyText"/>
      </w:pPr>
      <w:r>
        <w:t xml:space="preserve">Ненумерованные страницы (листы, столбцы и т. д.) просчитывают и записывают</w:t>
      </w:r>
    </w:p>
    <w:p>
      <w:pPr>
        <w:pStyle w:val="BodyText"/>
      </w:pPr>
      <w:r>
        <w:t xml:space="preserve">арабскими цифрами в квадратных скобках в конце пагинации. В описании</w:t>
      </w:r>
    </w:p>
    <w:p>
      <w:pPr>
        <w:pStyle w:val="BodyText"/>
      </w:pPr>
      <w:r>
        <w:t xml:space="preserve">старопечатных изданий последовательно указывают нумерацию страниц,</w:t>
      </w:r>
    </w:p>
    <w:p>
      <w:pPr>
        <w:pStyle w:val="BodyText"/>
      </w:pPr>
      <w:r>
        <w:t xml:space="preserve">записывая количество ненумерованных единиц в квадратных скобках.</w:t>
      </w:r>
    </w:p>
    <w:p>
      <w:pPr>
        <w:pStyle w:val="BodyText"/>
      </w:pPr>
      <w:r>
        <w:t xml:space="preserve">Примеры</w:t>
      </w:r>
    </w:p>
    <w:p>
      <w:pPr>
        <w:pStyle w:val="BodyText"/>
      </w:pPr>
      <w:r>
        <w:t xml:space="preserve">. – 326 с.</w:t>
      </w:r>
    </w:p>
    <w:p>
      <w:pPr>
        <w:pStyle w:val="BodyText"/>
      </w:pPr>
      <w:r>
        <w:t xml:space="preserve">. – ХII, 283, 15 с.</w:t>
      </w:r>
    </w:p>
    <w:p>
      <w:pPr>
        <w:pStyle w:val="BodyText"/>
      </w:pPr>
      <w:r>
        <w:t xml:space="preserve">. – 186 с., 8 с. ил.</w:t>
      </w:r>
    </w:p>
    <w:p>
      <w:pPr>
        <w:pStyle w:val="BodyText"/>
      </w:pPr>
      <w:r>
        <w:t xml:space="preserve">. – 379, [4](4) с., [10](10) л. ил., факс.</w:t>
      </w:r>
    </w:p>
    <w:p>
      <w:pPr>
        <w:pStyle w:val="BodyText"/>
      </w:pPr>
      <w:r>
        <w:t xml:space="preserve">. – CCXCIX с. ил.</w:t>
      </w:r>
    </w:p>
    <w:p>
      <w:pPr>
        <w:pStyle w:val="BodyText"/>
      </w:pPr>
      <w:r>
        <w:t xml:space="preserve">. – VI c., 132 стб.</w:t>
      </w:r>
    </w:p>
    <w:p>
      <w:pPr>
        <w:pStyle w:val="BodyText"/>
      </w:pPr>
      <w:r>
        <w:t xml:space="preserve">. – [16](16) отд. л. ил.</w:t>
      </w:r>
    </w:p>
    <w:p>
      <w:pPr>
        <w:pStyle w:val="BodyText"/>
      </w:pPr>
      <w:r>
        <w:t xml:space="preserve">. – С. 11–46</w:t>
      </w:r>
    </w:p>
    <w:p>
      <w:pPr>
        <w:pStyle w:val="BodyText"/>
      </w:pPr>
      <w:r>
        <w:t xml:space="preserve">. – L. 1–16</w:t>
      </w:r>
    </w:p>
    <w:p>
      <w:pPr>
        <w:pStyle w:val="BodyText"/>
      </w:pPr>
      <w:r>
        <w:t xml:space="preserve">. – [8](8), 327, [9](9) c.</w:t>
      </w:r>
    </w:p>
    <w:p>
      <w:pPr>
        <w:pStyle w:val="BodyText"/>
      </w:pPr>
      <w:r>
        <w:t xml:space="preserve">. – [4](4) л., 327, [1](1) c., [4](4) л.</w:t>
      </w:r>
    </w:p>
    <w:p>
      <w:pPr>
        <w:pStyle w:val="BodyText"/>
      </w:pPr>
      <w:r>
        <w:t xml:space="preserve">Поэтому в некоторых случаях вводим кол.хар-ки в первой строке (215^A), чтобы соблюсти правильно все знаки препинания.</w:t>
      </w:r>
    </w:p>
    <w:p>
      <w:pPr>
        <w:pStyle w:val="BodyText"/>
      </w:pPr>
      <w:r>
        <w:t xml:space="preserve">Вопрос про слияние в сводном остается. Целесообразно ли отключить это поле в таблице слияний, если оно там есть?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blocks-sd-599"/>
    <w:p>
      <w:pPr>
        <w:pStyle w:val="Heading3"/>
      </w:pPr>
      <w:r>
        <w:t xml:space="preserve">1.1. 🔗 blocks: SD-599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[SD-599]</w:t>
        </w:r>
      </w:hyperlink>
      <w:r>
        <w:t xml:space="preserve"> </w:t>
      </w:r>
      <w:r>
        <w:t xml:space="preserve">Количественные характеристики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2"/>
    <w:bookmarkStart w:id="14" w:name="соответствует-задача-i128-2148"/>
    <w:p>
      <w:pPr>
        <w:pStyle w:val="Heading3"/>
      </w:pPr>
      <w:r>
        <w:t xml:space="preserve">1.2. 🔗 Соответствует задача: I128-2148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[I128-2148]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[I128-2124] Количественные характеристики поддержка римских цифр в страницах</dc:title>
  <dc:creator/>
  <cp:keywords/>
  <dcterms:created xsi:type="dcterms:W3CDTF">2026-09-06T21:23:37Z</dcterms:created>
  <dcterms:modified xsi:type="dcterms:W3CDTF">2026-09-06T21:23:37Z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