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[I128-1764] Подсистема кеширования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764-подсистема-кеширования"/>
    <w:p>
      <w:pPr>
        <w:pStyle w:val="Heading1"/>
      </w:pPr>
      <w:r>
        <w:t xml:space="preserve">[I128-1764] Подсистема кеширования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Новая страница: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?id=Help/Show&amp;m=Help/Server128/SystemCore/Cache</w:t>
      </w:r>
      <w:r>
        <w:t xml:space="preserve"> </w:t>
      </w:r>
      <w:r>
        <w:t xml:space="preserve">- «Подсистема кеширования».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?id=Help/Show&amp;m=Help/Server128/SystemCore</w:t>
      </w:r>
      <w:r>
        <w:t xml:space="preserve"> </w:t>
      </w:r>
      <w:r>
        <w:t xml:space="preserve">- добавлена ссылка на страницу подсистемы кеширования.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общей подсистемы кеширования ИРБИС 128. В документации описаны режимы работы L1, APCu, SQLite и локального кеша текущего процесса, пространство ключей текущей инсталляции, основные методы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правила TTL, очистки и обновления кешированных данных.</w:t>
      </w:r>
    </w:p>
    <w:p>
      <w:pPr>
        <w:pStyle w:val="BodyText"/>
      </w:pPr>
      <w:r>
        <w:t xml:space="preserve">Также описана диагностическая страница</w:t>
      </w:r>
      <w:r>
        <w:t xml:space="preserve"> </w:t>
      </w:r>
      <w:r>
        <w:rPr>
          <w:rStyle w:val="VerbatimChar"/>
        </w:rPr>
        <w:t xml:space="preserve">?id=Admin/ShowCacheState</w:t>
      </w:r>
      <w:r>
        <w:t xml:space="preserve">, где администратор может проверить текущий режим кеширования и очистить кеш текущей инсталляции.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63"/>
    <w:p>
      <w:pPr>
        <w:pStyle w:val="Heading3"/>
      </w:pPr>
      <w:r>
        <w:t xml:space="preserve">1.1. 🔗 Соответствует задача: I128-1763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[I128-1763]</w:t>
        </w:r>
      </w:hyperlink>
      <w:r>
        <w:t xml:space="preserve"> </w:t>
      </w:r>
      <w:r>
        <w:t xml:space="preserve">Подсистема кеширования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[I128-1764] Подсистема кеширования</dc:title>
  <dc:creator/>
  <cp:keywords/>
  <dcterms:created xsi:type="dcterms:W3CDTF">2026-09-03T21:59:36Z</dcterms:created>
  <dcterms:modified xsi:type="dcterms:W3CDTF">2026-09-03T21:59:36Z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