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[I128-1557] Смена регистра символов в редакторе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299de642646c35bb94ec9028e597b3329ee76"/>
    <w:p>
      <w:pPr>
        <w:pStyle w:val="Heading1"/>
      </w:pPr>
      <w:r>
        <w:t xml:space="preserve">[I128-1557] Смена регистра символов в редакторе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добавлено описание горячей клавиши</w:t>
      </w:r>
      <w:r>
        <w:t xml:space="preserve"> </w:t>
      </w:r>
      <w:r>
        <w:rPr>
          <w:rStyle w:val="VerbatimChar"/>
        </w:rPr>
        <w:t xml:space="preserve">Alt+F7</w:t>
      </w:r>
      <w:r>
        <w:t xml:space="preserve"> </w:t>
      </w:r>
      <w:r>
        <w:t xml:space="preserve">для смены регистра в строковых полях редактора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Каталогизатора добавлено описание смены регистра символов в редакторе записи. Раздел поясняет, как открыть поле или подполе, вызвать</w:t>
      </w:r>
      <w:r>
        <w:t xml:space="preserve"> </w:t>
      </w:r>
      <w:r>
        <w:rPr>
          <w:rStyle w:val="VerbatimChar"/>
        </w:rPr>
        <w:t xml:space="preserve">Alt+F7</w:t>
      </w:r>
      <w:r>
        <w:t xml:space="preserve"> </w:t>
      </w:r>
      <w:r>
        <w:t xml:space="preserve">и что система заменяет прописные буквы на строчные, а строчные - на прописные во всем текущем значении. Сценарий помогает быстро исправлять значения из словаря или вставленный текст, если их нужно привести к противоположному регистру.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56"/>
    <w:p>
      <w:pPr>
        <w:pStyle w:val="Heading3"/>
      </w:pPr>
      <w:r>
        <w:t xml:space="preserve">1.1. 🔗 Соответствует задача: I128-1556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[I128-1556]</w:t>
        </w:r>
      </w:hyperlink>
      <w:r>
        <w:t xml:space="preserve"> </w:t>
      </w:r>
      <w:r>
        <w:t xml:space="preserve">Смена регистра символов строки в редакторе записи по нажатию горячей клавиши Alt-F7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[I128-1557] Смена регистра символов в редакторе записи</dc:title>
  <dc:creator/>
  <cp:keywords/>
  <dcterms:created xsi:type="dcterms:W3CDTF">2026-09-06T23:22:22Z</dcterms:created>
  <dcterms:modified xsi:type="dcterms:W3CDTF">2026-09-06T23:22:22Z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