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Format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значение-модуля-format"/>
    <w:p>
      <w:pPr>
        <w:pStyle w:val="Heading1"/>
      </w:pPr>
      <w:r>
        <w:t xml:space="preserve">Назначение модуля Format</w:t>
      </w:r>
    </w:p>
    <w:p>
      <w:pPr>
        <w:pStyle w:val="FirstParagraph"/>
      </w:pPr>
      <w:r>
        <w:rPr>
          <w:rStyle w:val="VerbatimChar"/>
        </w:rPr>
        <w:t xml:space="preserve">Format</w:t>
      </w:r>
      <w:r>
        <w:t xml:space="preserve"> </w:t>
      </w:r>
      <w:r>
        <w:t xml:space="preserve">используется там, где системе нужно получить пользовательское представление записи: краткое и полное описание в электронном каталоге, фрагменты карточки, данные заявок, служебные блоки выдачи и другие HTML- или текстовые результаты.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выполнение PHP-формата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по имени через</w:t>
      </w:r>
      <w:r>
        <w:t xml:space="preserve"> </w:t>
      </w:r>
      <w:r>
        <w:rPr>
          <w:rStyle w:val="VerbatimChar"/>
        </w:rPr>
        <w:t xml:space="preserve">Fmt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формата с кешированием результата в записи через</w:t>
      </w:r>
      <w:r>
        <w:t xml:space="preserve"> </w:t>
      </w:r>
      <w:r>
        <w:rPr>
          <w:rStyle w:val="VerbatimChar"/>
        </w:rPr>
        <w:t xml:space="preserve">FmtC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ссылок</w:t>
      </w:r>
      <w:r>
        <w:t xml:space="preserve"> </w:t>
      </w:r>
      <w:r>
        <w:rPr>
          <w:rStyle w:val="VerbatimChar"/>
        </w:rPr>
        <w:t xml:space="preserve">IRBIS:...</w:t>
      </w:r>
      <w:r>
        <w:t xml:space="preserve"> </w:t>
      </w:r>
      <w:r>
        <w:t xml:space="preserve">в ссылки ИРБИС 128 через</w:t>
      </w:r>
      <w:r>
        <w:t xml:space="preserve"> </w:t>
      </w:r>
      <w:r>
        <w:rPr>
          <w:rStyle w:val="VerbatimChar"/>
        </w:rPr>
        <w:t xml:space="preserve">AF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выполнение PFT-формата ИРБИС 64 через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хранение типовых форматов в</w:t>
      </w:r>
      <w:r>
        <w:t xml:space="preserve"> </w:t>
      </w:r>
      <w:r>
        <w:rPr>
          <w:rStyle w:val="VerbatimChar"/>
        </w:rPr>
        <w:t xml:space="preserve">modules/Format/formats</w:t>
      </w:r>
      <w:r>
        <w:t xml:space="preserve"> </w:t>
      </w:r>
      <w:r>
        <w:t xml:space="preserve">и форматах других модулей;</w:t>
      </w:r>
    </w:p>
    <w:p>
      <w:pPr>
        <w:pStyle w:val="Compact"/>
        <w:numPr>
          <w:ilvl w:val="0"/>
          <w:numId w:val="1001"/>
        </w:numPr>
      </w:pPr>
      <w:r>
        <w:t xml:space="preserve">регрессионное сравнение PHP-реализации PFT64 с внешним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.</w:t>
      </w:r>
    </w:p>
    <w:bookmarkEnd w:id="9"/>
    <w:bookmarkStart w:id="10" w:name="поиск-формата"/>
    <w:p>
      <w:pPr>
        <w:pStyle w:val="Heading2"/>
      </w:pPr>
      <w:r>
        <w:t xml:space="preserve">2. Поиск формата</w:t>
      </w:r>
    </w:p>
    <w:p>
      <w:pPr>
        <w:pStyle w:val="FirstParagraph"/>
      </w:pPr>
      <w:r>
        <w:rPr>
          <w:rStyle w:val="VerbatimChar"/>
        </w:rPr>
        <w:t xml:space="preserve">Fmt</w:t>
      </w:r>
      <w:r>
        <w:t xml:space="preserve"> </w:t>
      </w:r>
      <w:r>
        <w:t xml:space="preserve">сначала определяет хранилище формата. Если оно явно не передано, используется управляющий модуль записи или тип записи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Затем формат ищется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соответствующего модуля, с учетом пользовательского варианта</w:t>
      </w:r>
      <w:r>
        <w:t xml:space="preserve"> </w:t>
      </w:r>
      <w:r>
        <w:rPr>
          <w:rStyle w:val="VerbatimChar"/>
        </w:rPr>
        <w:t xml:space="preserve">.user</w:t>
      </w:r>
      <w:r>
        <w:t xml:space="preserve"> </w:t>
      </w:r>
      <w:r>
        <w:t xml:space="preserve">и варианта для текущего шаблона хоста. Если формат не найден, используется запасной сценарий через формат</w:t>
      </w:r>
      <w:r>
        <w:t xml:space="preserve"> </w:t>
      </w:r>
      <w:r>
        <w:rPr>
          <w:rStyle w:val="VerbatimChar"/>
        </w:rPr>
        <w:t xml:space="preserve">i64default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0"/>
    <w:bookmarkStart w:id="12" w:name="php-реализация-pft64"/>
    <w:p>
      <w:pPr>
        <w:pStyle w:val="Heading2"/>
      </w:pPr>
      <w:r>
        <w:t xml:space="preserve">3. PHP-реализация PFT64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Format64</w:t>
      </w:r>
      <w:r>
        <w:t xml:space="preserve"> </w:t>
      </w:r>
      <w:r>
        <w:t xml:space="preserve">загружает формат из базы ИРБИС или принимает текст формата, выполняет предварительную обработку, строит токены, AST и инструкции виртуальной машины. Скомпилированные инструкции кешируются по тексту формата. Для вложенных форматов используется общий контекст выполнения, переменные и глобальные команды.</w:t>
      </w:r>
    </w:p>
    <w:p>
      <w:pPr>
        <w:pStyle w:val="BodyText"/>
      </w:pPr>
      <w:r>
        <w:t xml:space="preserve">Подробное описание устройства, загрузки форматов и проверок совместимости см. в разделе</w:t>
      </w:r>
      <w:r>
        <w:t xml:space="preserve"> </w:t>
      </w:r>
      <w:hyperlink r:id="rId11">
        <w:r>
          <w:rPr>
            <w:rStyle w:val="Hyperlink"/>
          </w:rPr>
          <w:t xml:space="preserve">Нативный форматер ИРБИС 128</w:t>
        </w:r>
      </w:hyperlink>
      <w:r>
        <w:t xml:space="preserve">.</w:t>
      </w:r>
    </w:p>
    <w:bookmarkEnd w:id="12"/>
    <w:bookmarkStart w:id="13" w:name="служебные-страницы"/>
    <w:p>
      <w:pPr>
        <w:pStyle w:val="Heading2"/>
      </w:pPr>
      <w:r>
        <w:t xml:space="preserve">4. Служебные страницы</w:t>
      </w:r>
    </w:p>
    <w:p>
      <w:pPr>
        <w:pStyle w:val="FirstParagraph"/>
      </w:pPr>
      <w:r>
        <w:rPr>
          <w:rStyle w:val="VerbatimChar"/>
        </w:rPr>
        <w:t xml:space="preserve">Format/Test64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Format/TestUI</w:t>
      </w:r>
      <w:r>
        <w:t xml:space="preserve"> </w:t>
      </w:r>
      <w:r>
        <w:t xml:space="preserve">предназначены для разработческой проверки совместимости с форматером ИРБИС 64. Они обращаются к установленному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сравнивают результат с PHP-реализацией и помогают локализовать расхождения.</w:t>
      </w:r>
    </w:p>
    <w:bookmarkEnd w:id="13"/>
    <w:bookmarkStart w:id="14" w:name="ограничения"/>
    <w:p>
      <w:pPr>
        <w:pStyle w:val="Heading2"/>
      </w:pPr>
      <w:r>
        <w:t xml:space="preserve">5. Ограничения</w:t>
      </w:r>
    </w:p>
    <w:p>
      <w:pPr>
        <w:pStyle w:val="FirstParagraph"/>
      </w:pPr>
      <w:r>
        <w:t xml:space="preserve">Модуль является инфраструктурным. Ошибки в нем влияют на электронный каталог, карточки записей, заявки, отображение файловых ссылок и другие места, где используются форматы. После изменений нужны не только Help-проверки, но и функциональная проверка ключевых форматов на реальных записях.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Format/Help/NativeFormatt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Format/Help/NativeFormatt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Format</dc:title>
  <dc:creator/>
  <cp:keywords/>
  <dcterms:created xsi:type="dcterms:W3CDTF">2026-09-05T05:33:31Z</dcterms:created>
  <dcterms:modified xsi:type="dcterms:W3CDTF">2026-09-05T05:33:31Z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