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Интеграция с библиотечными процессами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интеграция-с-библиотечными-процессами"/>
    <w:p>
      <w:pPr>
        <w:pStyle w:val="Heading1"/>
      </w:pPr>
      <w:r>
        <w:t xml:space="preserve">Интеграция с библиотечными процессами</w:t>
      </w:r>
    </w:p>
    <w:bookmarkStart w:id="9" w:name="арм-книговыдача"/>
    <w:p>
      <w:pPr>
        <w:pStyle w:val="Heading2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"/>
    <w:bookmarkStart w:id="10" w:name="ограничения-и-авторские-права-поле-201"/>
    <w:p>
      <w:pPr>
        <w:pStyle w:val="Heading2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"/>
    <w:bookmarkStart w:id="11" w:name="сводный-каталог"/>
    <w:p>
      <w:pPr>
        <w:pStyle w:val="Heading2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1"/>
    <w:bookmarkStart w:id="16" w:name="параметры-интеграции-с-арм-книговыдача"/>
    <w:p>
      <w:pPr>
        <w:pStyle w:val="Heading2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2" w:name="X87f80bf909191ef19914d94a743ef9634edf217"/>
    <w:p>
      <w:pPr>
        <w:pStyle w:val="Heading3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2"/>
    <w:bookmarkStart w:id="13" w:name="обозначение-места-выдачи-mkv"/>
    <w:p>
      <w:pPr>
        <w:pStyle w:val="Heading3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3"/>
    <w:bookmarkStart w:id="14" w:name="идентификатор-анонимного-читателя-kvri"/>
    <w:p>
      <w:pPr>
        <w:pStyle w:val="Heading3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4"/>
    <w:bookmarkStart w:id="15" w:name="X707440f5c0ffc224d501aa42be2f73c240abd4d"/>
    <w:p>
      <w:pPr>
        <w:pStyle w:val="Heading3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5"/>
    <w:bookmarkEnd w:id="16"/>
    <w:bookmarkStart w:id="19" w:name="Xa71c1d5d07dd25b85628c0566ce9063eea7318b"/>
    <w:p>
      <w:pPr>
        <w:pStyle w:val="Heading2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7" w:name="X8a6e7d63fd288782ceff3e8e12ed2ec5fdd120c"/>
    <w:p>
      <w:pPr>
        <w:pStyle w:val="Heading3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7"/>
    <w:bookmarkStart w:id="18" w:name="список-разрешенных-бд-skalloweddatabases"/>
    <w:p>
      <w:pPr>
        <w:pStyle w:val="Heading3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с библиотечными процессами</dc:title>
  <dc:creator/>
  <cp:keywords/>
  <dcterms:created xsi:type="dcterms:W3CDTF">2026-09-06T23:17:58Z</dcterms:created>
  <dcterms:modified xsi:type="dcterms:W3CDTF">2026-09-06T23:17:58Z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