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Формат файла .n01 (Словарь ИРБИС64 - Узлы дерева поиска)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7" w:name="X7b3d0d91746126464532c1091e4942d0d7e74a7"/>
    <w:p>
      <w:pPr>
        <w:pStyle w:val="Heading1"/>
      </w:pPr>
      <w:r>
        <w:t xml:space="preserve">Формат файла .n01 (Словарь ИРБИС64 - Узлы дерева поиска)</w:t>
      </w:r>
    </w:p>
    <w:p>
      <w:pPr>
        <w:pStyle w:val="FirstParagraph"/>
      </w:pPr>
      <w:r>
        <w:t xml:space="preserve">Файл</w:t>
      </w:r>
      <w:r>
        <w:t xml:space="preserve"> </w:t>
      </w:r>
      <w:r>
        <w:rPr>
          <w:rStyle w:val="VerbatimChar"/>
        </w:rPr>
        <w:t xml:space="preserve">.n01</w:t>
      </w:r>
      <w:r>
        <w:t xml:space="preserve"> </w:t>
      </w:r>
      <w:r>
        <w:t xml:space="preserve">является частью инвертированного файла (словаря) системы ИРБИС64. Он отвечает за хранение верхних (индексных) уровней B-дерева и обеспечивает быструю навигацию (поиск терминов), перенаправляя к файлам листовых узлов</w:t>
      </w:r>
      <w:r>
        <w:t xml:space="preserve"> </w:t>
      </w:r>
      <w:r>
        <w:rPr>
          <w:rStyle w:val="VerbatimChar"/>
        </w:rPr>
        <w:t xml:space="preserve">.l01</w:t>
      </w:r>
      <w:r>
        <w:t xml:space="preserve"> </w:t>
      </w:r>
      <w:r>
        <w:t xml:space="preserve">и файлу ссылок</w:t>
      </w:r>
      <w:r>
        <w:t xml:space="preserve"> </w:t>
      </w:r>
      <w:r>
        <w:rPr>
          <w:rStyle w:val="VerbatimChar"/>
        </w:rPr>
        <w:t xml:space="preserve">.ifp</w:t>
      </w:r>
      <w:r>
        <w:t xml:space="preserve">.</w:t>
      </w:r>
    </w:p>
    <w:bookmarkStart w:id="10" w:name="физическая-структура"/>
    <w:p>
      <w:pPr>
        <w:pStyle w:val="Heading2"/>
      </w:pPr>
      <w:r>
        <w:t xml:space="preserve">1. Физическая структура</w:t>
      </w:r>
    </w:p>
    <w:p>
      <w:pPr>
        <w:pStyle w:val="FirstParagraph"/>
      </w:pPr>
      <w:r>
        <w:t xml:space="preserve">Файл логически разбит на блоки фиксированного размера.</w:t>
      </w:r>
      <w:r>
        <w:t xml:space="preserve"> </w:t>
      </w:r>
      <w:r>
        <w:t xml:space="preserve">Размер одного блока (</w:t>
      </w:r>
      <w:r>
        <w:rPr>
          <w:rStyle w:val="VerbatimChar"/>
        </w:rPr>
        <w:t xml:space="preserve">SIZE_OF_TERMS_BLOCK</w:t>
      </w:r>
      <w:r>
        <w:t xml:space="preserve">) составляет</w:t>
      </w:r>
      <w:r>
        <w:t xml:space="preserve"> </w:t>
      </w:r>
      <w:r>
        <w:rPr>
          <w:b/>
          <w:bCs/>
        </w:rPr>
        <w:t xml:space="preserve">2048 байт</w:t>
      </w:r>
      <w:r>
        <w:t xml:space="preserve">.</w:t>
      </w:r>
    </w:p>
    <w:p>
      <w:pPr>
        <w:pStyle w:val="BodyText"/>
      </w:pPr>
      <w:r>
        <w:t xml:space="preserve">Максимальный размер такого файла словаря может достигать примерно 4000 Гб (ограничивается максимальным значением, которое может хранить 32-битное целое число для номера блока, умноженным на размер блока).</w:t>
      </w:r>
    </w:p>
    <w:bookmarkStart w:id="9" w:name="порядок-байт-endianness"/>
    <w:p>
      <w:pPr>
        <w:pStyle w:val="Heading3"/>
      </w:pPr>
      <w:r>
        <w:t xml:space="preserve">1.1. Порядок байт (Endianness)</w:t>
      </w:r>
    </w:p>
    <w:p>
      <w:pPr>
        <w:pStyle w:val="FirstParagraph"/>
      </w:pPr>
      <w:r>
        <w:t xml:space="preserve">Все бинарные числовые значения в файле (</w:t>
      </w:r>
      <w:r>
        <w:rPr>
          <w:rStyle w:val="VerbatimChar"/>
        </w:rPr>
        <w:t xml:space="preserve">int</w:t>
      </w:r>
      <w:r>
        <w:t xml:space="preserve">,</w:t>
      </w:r>
      <w:r>
        <w:t xml:space="preserve"> </w:t>
      </w:r>
      <w:r>
        <w:rPr>
          <w:rStyle w:val="VerbatimChar"/>
        </w:rPr>
        <w:t xml:space="preserve">unsigned short</w:t>
      </w:r>
      <w:r>
        <w:t xml:space="preserve">, а также половины структуры</w:t>
      </w:r>
      <w:r>
        <w:t xml:space="preserve"> </w:t>
      </w:r>
      <w:r>
        <w:rPr>
          <w:rStyle w:val="VerbatimChar"/>
        </w:rPr>
        <w:t xml:space="preserve">TInt64</w:t>
      </w:r>
      <w:r>
        <w:t xml:space="preserve">) записываются на диск в формате</w:t>
      </w:r>
      <w:r>
        <w:t xml:space="preserve"> </w:t>
      </w:r>
      <w:r>
        <w:rPr>
          <w:b/>
          <w:bCs/>
        </w:rPr>
        <w:t xml:space="preserve">Big-Endian</w:t>
      </w:r>
      <w:r>
        <w:t xml:space="preserve"> </w:t>
      </w:r>
      <w:r>
        <w:t xml:space="preserve">(старший байт по меньшему адресу). Это связано с необходимостью сохранения кроссплатформенной совместимости со стандартом CDS/ISIS.</w:t>
      </w:r>
    </w:p>
    <w:bookmarkEnd w:id="9"/>
    <w:bookmarkEnd w:id="10"/>
    <w:bookmarkStart w:id="14" w:name="структура-отдельного-блока-node"/>
    <w:p>
      <w:pPr>
        <w:pStyle w:val="Heading2"/>
      </w:pPr>
      <w:r>
        <w:t xml:space="preserve">2. Структура отдельного блока (Node)</w:t>
      </w:r>
    </w:p>
    <w:p>
      <w:pPr>
        <w:pStyle w:val="FirstParagraph"/>
      </w:pPr>
      <w:r>
        <w:t xml:space="preserve">Каждый блок размером 2048 байт имеет следующую внутреннюю организацию:</w:t>
      </w:r>
    </w:p>
    <w:p>
      <w:pPr>
        <w:pStyle w:val="BodyText"/>
      </w:pPr>
      <w:r>
        <w:rPr>
          <w:rStyle w:val="VerbatimChar"/>
        </w:rPr>
        <w:t xml:space="preserve">[Заголовок блока] [Массив указателей на ключи] ... [Свободное пространство] ... [Сами ключи (термины)]</w:t>
      </w:r>
    </w:p>
    <w:p>
      <w:pPr>
        <w:pStyle w:val="BodyText"/>
      </w:pPr>
      <w:r>
        <w:t xml:space="preserve">Ключи добавляются с конца блока (навстречу заголовкам), а массив заголовков ключей растет от начала.</w:t>
      </w:r>
    </w:p>
    <w:bookmarkStart w:id="11" w:name="заголовок-блока-header_block"/>
    <w:p>
      <w:pPr>
        <w:pStyle w:val="Heading3"/>
      </w:pPr>
      <w:r>
        <w:t xml:space="preserve">2.1. 1. Заголовок блока (Header_block)</w:t>
      </w:r>
    </w:p>
    <w:p>
      <w:pPr>
        <w:pStyle w:val="FirstParagraph"/>
      </w:pPr>
      <w:r>
        <w:t xml:space="preserve">Заголовок блока (</w:t>
      </w:r>
      <w:r>
        <w:rPr>
          <w:rStyle w:val="VerbatimChar"/>
        </w:rPr>
        <w:t xml:space="preserve">THeader_Block</w:t>
      </w:r>
      <w:r>
        <w:t xml:space="preserve">) всегда располагается в начале блока и занимает</w:t>
      </w:r>
      <w:r>
        <w:t xml:space="preserve"> </w:t>
      </w:r>
      <w:r>
        <w:rPr>
          <w:b/>
          <w:bCs/>
        </w:rPr>
        <w:t xml:space="preserve">16 байт</w:t>
      </w:r>
      <w:r>
        <w:t xml:space="preserve">.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4"/>
        <w:gridCol w:w="485"/>
        <w:gridCol w:w="212"/>
        <w:gridCol w:w="6827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Поле</w:t>
            </w:r>
          </w:p>
        </w:tc>
        <w:tc>
          <w:tcPr/>
          <w:p>
            <w:pPr>
              <w:pStyle w:val="Compact"/>
            </w:pPr>
            <w:r>
              <w:t xml:space="preserve">Тип</w:t>
            </w:r>
          </w:p>
        </w:tc>
        <w:tc>
          <w:tcPr/>
          <w:p>
            <w:pPr>
              <w:pStyle w:val="Compact"/>
            </w:pPr>
            <w:r>
              <w:t xml:space="preserve">Размер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number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int</w:t>
            </w:r>
          </w:p>
        </w:tc>
        <w:tc>
          <w:tcPr/>
          <w:p>
            <w:pPr>
              <w:pStyle w:val="Compact"/>
            </w:pPr>
            <w:r>
              <w:t xml:space="preserve">4 байта</w:t>
            </w:r>
          </w:p>
        </w:tc>
        <w:tc>
          <w:tcPr/>
          <w:p>
            <w:pPr>
              <w:pStyle w:val="Compact"/>
            </w:pPr>
            <w:r>
              <w:t xml:space="preserve">Номер текущего блока. Для самого первого блока файла (заголовочного) это поле хранит указатель на номер первого свободного блока. Само значение номера блока всегда положительное.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prev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int</w:t>
            </w:r>
          </w:p>
        </w:tc>
        <w:tc>
          <w:tcPr/>
          <w:p>
            <w:pPr>
              <w:pStyle w:val="Compact"/>
            </w:pPr>
            <w:r>
              <w:t xml:space="preserve">4 байта</w:t>
            </w:r>
          </w:p>
        </w:tc>
        <w:tc>
          <w:tcPr/>
          <w:p>
            <w:pPr>
              <w:pStyle w:val="Compact"/>
            </w:pPr>
            <w:r>
              <w:t xml:space="preserve">Номер предыдущего блока (связанный список). Отрицательное значение (обычно</w:t>
            </w:r>
            <w:r>
              <w:t xml:space="preserve"> </w:t>
            </w:r>
            <w:r>
              <w:rPr>
                <w:rStyle w:val="VerbatimChar"/>
              </w:rPr>
              <w:t xml:space="preserve">-1</w:t>
            </w:r>
            <w:r>
              <w:t xml:space="preserve">) или</w:t>
            </w:r>
            <w:r>
              <w:t xml:space="preserve"> </w:t>
            </w:r>
            <w:r>
              <w:rPr>
                <w:rStyle w:val="VerbatimChar"/>
              </w:rPr>
              <w:t xml:space="preserve">0</w:t>
            </w:r>
            <w:r>
              <w:t xml:space="preserve"> </w:t>
            </w:r>
            <w:r>
              <w:t xml:space="preserve">означает отсутствие связи (например, начало списка).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next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int</w:t>
            </w:r>
          </w:p>
        </w:tc>
        <w:tc>
          <w:tcPr/>
          <w:p>
            <w:pPr>
              <w:pStyle w:val="Compact"/>
            </w:pPr>
            <w:r>
              <w:t xml:space="preserve">4 байта</w:t>
            </w:r>
          </w:p>
        </w:tc>
        <w:tc>
          <w:tcPr/>
          <w:p>
            <w:pPr>
              <w:pStyle w:val="Compact"/>
            </w:pPr>
            <w:r>
              <w:t xml:space="preserve">Номер следующего блока. Отрицательное значение (обычно</w:t>
            </w:r>
            <w:r>
              <w:t xml:space="preserve"> </w:t>
            </w:r>
            <w:r>
              <w:rPr>
                <w:rStyle w:val="VerbatimChar"/>
              </w:rPr>
              <w:t xml:space="preserve">-1</w:t>
            </w:r>
            <w:r>
              <w:t xml:space="preserve">) или</w:t>
            </w:r>
            <w:r>
              <w:t xml:space="preserve"> </w:t>
            </w:r>
            <w:r>
              <w:rPr>
                <w:rStyle w:val="VerbatimChar"/>
              </w:rPr>
              <w:t xml:space="preserve">0</w:t>
            </w:r>
            <w:r>
              <w:t xml:space="preserve"> </w:t>
            </w:r>
            <w:r>
              <w:t xml:space="preserve">означает отсутствие связи (например, конец списка).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terms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unsigned short</w:t>
            </w:r>
          </w:p>
        </w:tc>
        <w:tc>
          <w:tcPr/>
          <w:p>
            <w:pPr>
              <w:pStyle w:val="Compact"/>
            </w:pPr>
            <w:r>
              <w:t xml:space="preserve">2 байта</w:t>
            </w:r>
          </w:p>
        </w:tc>
        <w:tc>
          <w:tcPr/>
          <w:p>
            <w:pPr>
              <w:pStyle w:val="Compact"/>
            </w:pPr>
            <w:r>
              <w:t xml:space="preserve">Количество терминов (ключей), содержащихся в текущем блоке.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offset_free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unsigned short</w:t>
            </w:r>
          </w:p>
        </w:tc>
        <w:tc>
          <w:tcPr/>
          <w:p>
            <w:pPr>
              <w:pStyle w:val="Compact"/>
            </w:pPr>
            <w:r>
              <w:t xml:space="preserve">2 байта</w:t>
            </w:r>
          </w:p>
        </w:tc>
        <w:tc>
          <w:tcPr/>
          <w:p>
            <w:pPr>
              <w:pStyle w:val="Compact"/>
            </w:pPr>
            <w:r>
              <w:t xml:space="preserve">Смещение на свободное пространство</w:t>
            </w:r>
            <w:r>
              <w:t xml:space="preserve"> </w:t>
            </w:r>
            <w:r>
              <w:rPr>
                <w:b/>
                <w:bCs/>
              </w:rPr>
              <w:t xml:space="preserve">от начала блока</w:t>
            </w:r>
            <w:r>
              <w:t xml:space="preserve">. Указывает на границу, до которой записаны ключи со стороны конца блока. Для полностью пустого блока равно 2048, при добавлении термина значение уменьшается на его длину.</w:t>
            </w:r>
          </w:p>
        </w:tc>
      </w:tr>
    </w:tbl>
    <w:bookmarkEnd w:id="11"/>
    <w:bookmarkStart w:id="12" w:name="заголовок-ключа-header_key"/>
    <w:p>
      <w:pPr>
        <w:pStyle w:val="Heading3"/>
      </w:pPr>
      <w:r>
        <w:t xml:space="preserve">2.2. 2. Заголовок ключа (Header_key)</w:t>
      </w:r>
    </w:p>
    <w:p>
      <w:pPr>
        <w:pStyle w:val="FirstParagraph"/>
      </w:pPr>
      <w:r>
        <w:t xml:space="preserve">Следом за</w:t>
      </w:r>
      <w:r>
        <w:t xml:space="preserve"> </w:t>
      </w:r>
      <w:r>
        <w:rPr>
          <w:rStyle w:val="VerbatimChar"/>
        </w:rPr>
        <w:t xml:space="preserve">Header_block</w:t>
      </w:r>
      <w:r>
        <w:t xml:space="preserve"> </w:t>
      </w:r>
      <w:r>
        <w:t xml:space="preserve">идет массив элементов</w:t>
      </w:r>
      <w:r>
        <w:t xml:space="preserve"> </w:t>
      </w:r>
      <w:r>
        <w:rPr>
          <w:rStyle w:val="VerbatimChar"/>
        </w:rPr>
        <w:t xml:space="preserve">Header_key</w:t>
      </w:r>
      <w:r>
        <w:t xml:space="preserve"> </w:t>
      </w:r>
      <w:r>
        <w:t xml:space="preserve">(</w:t>
      </w:r>
      <w:r>
        <w:rPr>
          <w:rStyle w:val="VerbatimChar"/>
        </w:rPr>
        <w:t xml:space="preserve">THeader_Key</w:t>
      </w:r>
      <w:r>
        <w:t xml:space="preserve">), по одному на каждый термин в блоке. Описание одного элемента занимает</w:t>
      </w:r>
      <w:r>
        <w:t xml:space="preserve"> </w:t>
      </w:r>
      <w:r>
        <w:rPr>
          <w:b/>
          <w:bCs/>
        </w:rPr>
        <w:t xml:space="preserve">12 байт</w:t>
      </w:r>
      <w:r>
        <w:t xml:space="preserve">.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3"/>
        <w:gridCol w:w="217"/>
        <w:gridCol w:w="89"/>
        <w:gridCol w:w="7459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Поле</w:t>
            </w:r>
          </w:p>
        </w:tc>
        <w:tc>
          <w:tcPr/>
          <w:p>
            <w:pPr>
              <w:pStyle w:val="Compact"/>
            </w:pPr>
            <w:r>
              <w:t xml:space="preserve">Тип</w:t>
            </w:r>
          </w:p>
        </w:tc>
        <w:tc>
          <w:tcPr/>
          <w:p>
            <w:pPr>
              <w:pStyle w:val="Compact"/>
            </w:pPr>
            <w:r>
              <w:t xml:space="preserve">Размер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len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unsigned short</w:t>
            </w:r>
          </w:p>
        </w:tc>
        <w:tc>
          <w:tcPr/>
          <w:p>
            <w:pPr>
              <w:pStyle w:val="Compact"/>
            </w:pPr>
            <w:r>
              <w:t xml:space="preserve">2 байта</w:t>
            </w:r>
          </w:p>
        </w:tc>
        <w:tc>
          <w:tcPr/>
          <w:p>
            <w:pPr>
              <w:pStyle w:val="Compact"/>
            </w:pPr>
            <w:r>
              <w:t xml:space="preserve">Длина ключа (термина). Максимальная длина термина ограничена 255 символами.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offset_key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unsigned short</w:t>
            </w:r>
          </w:p>
        </w:tc>
        <w:tc>
          <w:tcPr/>
          <w:p>
            <w:pPr>
              <w:pStyle w:val="Compact"/>
            </w:pPr>
            <w:r>
              <w:t xml:space="preserve">2 байта</w:t>
            </w:r>
          </w:p>
        </w:tc>
        <w:tc>
          <w:tcPr/>
          <w:p>
            <w:pPr>
              <w:pStyle w:val="Compact"/>
            </w:pPr>
            <w:r>
              <w:t xml:space="preserve">Смещение на начало ключа (строки символов) относительно начала блока.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nxt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TInt64</w:t>
            </w:r>
            <w:r>
              <w:t xml:space="preserve"> </w:t>
            </w:r>
            <w:r>
              <w:t xml:space="preserve">(struct)</w:t>
            </w:r>
          </w:p>
        </w:tc>
        <w:tc>
          <w:tcPr/>
          <w:p>
            <w:pPr>
              <w:pStyle w:val="Compact"/>
            </w:pPr>
            <w:r>
              <w:t xml:space="preserve">8 байт</w:t>
            </w:r>
          </w:p>
        </w:tc>
        <w:tc>
          <w:tcPr/>
          <w:p>
            <w:pPr>
              <w:pStyle w:val="Compact"/>
            </w:pPr>
            <w:r>
              <w:t xml:space="preserve">64-битное число, записанное в виде двух 32-битных частей. На диске</w:t>
            </w:r>
            <w:r>
              <w:t xml:space="preserve"> </w:t>
            </w:r>
            <w:r>
              <w:rPr>
                <w:b/>
                <w:bCs/>
              </w:rPr>
              <w:t xml:space="preserve">сначала располагается</w:t>
            </w:r>
            <w:r>
              <w:rPr>
                <w:b/>
                <w:bCs/>
              </w:rPr>
              <w:t xml:space="preserve"> </w:t>
            </w:r>
            <w:r>
              <w:rPr>
                <w:rStyle w:val="VerbatimChar"/>
                <w:b/>
                <w:bCs/>
              </w:rPr>
              <w:t xml:space="preserve">LowWord</w:t>
            </w:r>
            <w:r>
              <w:t xml:space="preserve"> </w:t>
            </w:r>
            <w:r>
              <w:t xml:space="preserve">(4 байта), а затем</w:t>
            </w:r>
            <w:r>
              <w:t xml:space="preserve"> </w:t>
            </w:r>
            <w:r>
              <w:rPr>
                <w:rStyle w:val="VerbatimChar"/>
                <w:b/>
                <w:bCs/>
              </w:rPr>
              <w:t xml:space="preserve">HiWord</w:t>
            </w:r>
            <w:r>
              <w:t xml:space="preserve"> </w:t>
            </w:r>
            <w:r>
              <w:t xml:space="preserve">(4 байта). В индексном файле</w:t>
            </w:r>
            <w:r>
              <w:t xml:space="preserve"> </w:t>
            </w:r>
            <w:r>
              <w:rPr>
                <w:rStyle w:val="VerbatimChar"/>
              </w:rPr>
              <w:t xml:space="preserve">.n01</w:t>
            </w:r>
            <w:r>
              <w:t xml:space="preserve"> </w:t>
            </w:r>
            <w:r>
              <w:t xml:space="preserve">младшие 4 байта (</w:t>
            </w:r>
            <w:r>
              <w:rPr>
                <w:rStyle w:val="VerbatimChar"/>
              </w:rPr>
              <w:t xml:space="preserve">LowWord</w:t>
            </w:r>
            <w:r>
              <w:t xml:space="preserve">) интерпретируются как знаковое целое число (</w:t>
            </w:r>
            <w:r>
              <w:rPr>
                <w:rStyle w:val="VerbatimChar"/>
              </w:rPr>
              <w:t xml:space="preserve">int</w:t>
            </w:r>
            <w:r>
              <w:t xml:space="preserve">), где знак определяет тип целевого файла:</w:t>
            </w:r>
            <w:r>
              <w:t xml:space="preserve">•</w:t>
            </w:r>
            <w:r>
              <w:t xml:space="preserve"> </w:t>
            </w:r>
            <w:r>
              <w:rPr>
                <w:rStyle w:val="VerbatimChar"/>
              </w:rPr>
              <w:t xml:space="preserve">= 0</w:t>
            </w:r>
            <w:r>
              <w:t xml:space="preserve"> </w:t>
            </w:r>
            <w:r>
              <w:t xml:space="preserve">— пустая ссылка;</w:t>
            </w:r>
            <w:r>
              <w:t xml:space="preserve">•</w:t>
            </w:r>
            <w:r>
              <w:t xml:space="preserve"> </w:t>
            </w:r>
            <w:r>
              <w:rPr>
                <w:rStyle w:val="VerbatimChar"/>
              </w:rPr>
              <w:t xml:space="preserve">&gt; 0</w:t>
            </w:r>
            <w:r>
              <w:t xml:space="preserve"> </w:t>
            </w:r>
            <w:r>
              <w:t xml:space="preserve">— ссылка на номер блока в текущем индексном файле</w:t>
            </w:r>
            <w:r>
              <w:t xml:space="preserve"> </w:t>
            </w:r>
            <w:r>
              <w:rPr>
                <w:rStyle w:val="VerbatimChar"/>
              </w:rPr>
              <w:t xml:space="preserve">.n01</w:t>
            </w:r>
            <w:r>
              <w:t xml:space="preserve"> </w:t>
            </w:r>
            <w:r>
              <w:t xml:space="preserve">(переход на подуровень);</w:t>
            </w:r>
            <w:r>
              <w:t xml:space="preserve">•</w:t>
            </w:r>
            <w:r>
              <w:t xml:space="preserve"> </w:t>
            </w:r>
            <w:r>
              <w:rPr>
                <w:rStyle w:val="VerbatimChar"/>
              </w:rPr>
              <w:t xml:space="preserve">&lt; 0</w:t>
            </w:r>
            <w:r>
              <w:t xml:space="preserve"> </w:t>
            </w:r>
            <w:r>
              <w:t xml:space="preserve">— ссылка на номер блока в файле листьев</w:t>
            </w:r>
            <w:r>
              <w:t xml:space="preserve"> </w:t>
            </w:r>
            <w:r>
              <w:rPr>
                <w:rStyle w:val="VerbatimChar"/>
              </w:rPr>
              <w:t xml:space="preserve">.l01</w:t>
            </w:r>
            <w:r>
              <w:t xml:space="preserve">. Отрицательный знак выступает специальным флагом, указывающим на файл</w:t>
            </w:r>
            <w:r>
              <w:t xml:space="preserve"> </w:t>
            </w:r>
            <w:r>
              <w:rPr>
                <w:rStyle w:val="VerbatimChar"/>
              </w:rPr>
              <w:t xml:space="preserve">.l01</w:t>
            </w:r>
            <w:r>
              <w:t xml:space="preserve">, а сам номер блока берется по модулю.</w:t>
            </w:r>
          </w:p>
        </w:tc>
      </w:tr>
    </w:tbl>
    <w:p>
      <w:pPr>
        <w:pStyle w:val="BodyText"/>
      </w:pPr>
      <w:r>
        <w:rPr>
          <w:i/>
          <w:iCs/>
        </w:rPr>
        <w:t xml:space="preserve">Примечание: исторически</w:t>
      </w:r>
      <w:r>
        <w:rPr>
          <w:i/>
          <w:iCs/>
        </w:rPr>
        <w:t xml:space="preserve"> </w:t>
      </w:r>
      <w:r>
        <w:rPr>
          <w:rStyle w:val="VerbatimChar"/>
          <w:i/>
          <w:iCs/>
        </w:rPr>
        <w:t xml:space="preserve">nxt</w:t>
      </w:r>
      <w:r>
        <w:rPr>
          <w:i/>
          <w:iCs/>
        </w:rPr>
        <w:t xml:space="preserve"> </w:t>
      </w:r>
      <w:r>
        <w:rPr>
          <w:i/>
          <w:iCs/>
        </w:rPr>
        <w:t xml:space="preserve">состоял из полей</w:t>
      </w:r>
      <w:r>
        <w:rPr>
          <w:i/>
          <w:iCs/>
        </w:rPr>
        <w:t xml:space="preserve"> </w:t>
      </w:r>
      <w:r>
        <w:rPr>
          <w:rStyle w:val="VerbatimChar"/>
          <w:i/>
          <w:iCs/>
        </w:rPr>
        <w:t xml:space="preserve">block</w:t>
      </w:r>
      <w:r>
        <w:rPr>
          <w:i/>
          <w:iCs/>
        </w:rPr>
        <w:t xml:space="preserve"> </w:t>
      </w:r>
      <w:r>
        <w:rPr>
          <w:i/>
          <w:iCs/>
        </w:rPr>
        <w:t xml:space="preserve">и</w:t>
      </w:r>
      <w:r>
        <w:rPr>
          <w:i/>
          <w:iCs/>
        </w:rPr>
        <w:t xml:space="preserve"> </w:t>
      </w:r>
      <w:r>
        <w:rPr>
          <w:rStyle w:val="VerbatimChar"/>
          <w:i/>
          <w:iCs/>
        </w:rPr>
        <w:t xml:space="preserve">flag</w:t>
      </w:r>
      <w:r>
        <w:rPr>
          <w:i/>
          <w:iCs/>
        </w:rPr>
        <w:t xml:space="preserve"> </w:t>
      </w:r>
      <w:r>
        <w:rPr>
          <w:i/>
          <w:iCs/>
        </w:rPr>
        <w:t xml:space="preserve">по 4 байта (до введения поддержки больших файлов &gt; 2Gb в 2002 году), теперь это структура</w:t>
      </w:r>
      <w:r>
        <w:rPr>
          <w:i/>
          <w:iCs/>
        </w:rPr>
        <w:t xml:space="preserve"> </w:t>
      </w:r>
      <w:r>
        <w:rPr>
          <w:rStyle w:val="VerbatimChar"/>
          <w:i/>
          <w:iCs/>
        </w:rPr>
        <w:t xml:space="preserve">TInt64</w:t>
      </w:r>
      <w:r>
        <w:rPr>
          <w:i/>
          <w:iCs/>
        </w:rPr>
        <w:t xml:space="preserve">.</w:t>
      </w:r>
    </w:p>
    <w:bookmarkEnd w:id="12"/>
    <w:bookmarkStart w:id="13" w:name="термины-ключи"/>
    <w:p>
      <w:pPr>
        <w:pStyle w:val="Heading3"/>
      </w:pPr>
      <w:r>
        <w:t xml:space="preserve">2.3. 3. Термины (Ключи)</w:t>
      </w:r>
    </w:p>
    <w:p>
      <w:pPr>
        <w:pStyle w:val="FirstParagraph"/>
      </w:pPr>
      <w:r>
        <w:t xml:space="preserve">Сами строковые значения ключей записываются, начиная с конца блока. Значение смещения для каждого термина определяется в поле</w:t>
      </w:r>
      <w:r>
        <w:t xml:space="preserve"> </w:t>
      </w:r>
      <w:r>
        <w:rPr>
          <w:rStyle w:val="VerbatimChar"/>
        </w:rPr>
        <w:t xml:space="preserve">offset_key</w:t>
      </w:r>
      <w:r>
        <w:t xml:space="preserve">.</w:t>
      </w:r>
    </w:p>
    <w:bookmarkEnd w:id="13"/>
    <w:bookmarkEnd w:id="14"/>
    <w:bookmarkStart w:id="15" w:name="расчет-свободного-места"/>
    <w:p>
      <w:pPr>
        <w:pStyle w:val="Heading2"/>
      </w:pPr>
      <w:r>
        <w:t xml:space="preserve">3. Расчет свободного места</w:t>
      </w:r>
    </w:p>
    <w:p>
      <w:pPr>
        <w:pStyle w:val="FirstParagraph"/>
      </w:pPr>
      <w:r>
        <w:t xml:space="preserve">Свободное (незанятое) пространство в блоке можно вычислить по формуле:</w:t>
      </w:r>
    </w:p>
    <w:p>
      <w:pPr>
        <w:pStyle w:val="BodyText"/>
      </w:pPr>
      <w:r>
        <w:rPr>
          <w:rStyle w:val="VerbatimChar"/>
        </w:rPr>
        <w:t xml:space="preserve">Свободно = offset_free - (terms * 12) - 16</w:t>
      </w:r>
    </w:p>
    <w:p>
      <w:pPr>
        <w:pStyle w:val="BodyText"/>
      </w:pPr>
      <w:r>
        <w:t xml:space="preserve">Где: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offset_free</w:t>
      </w:r>
      <w:r>
        <w:t xml:space="preserve"> </w:t>
      </w:r>
      <w:r>
        <w:t xml:space="preserve">— смещение в байтах от начала блока до области, занятой строковыми значениями ключей (ключи записываются от конца блока навстречу заголовкам, поэтому</w:t>
      </w:r>
      <w:r>
        <w:t xml:space="preserve"> </w:t>
      </w:r>
      <w:r>
        <w:rPr>
          <w:rStyle w:val="VerbatimChar"/>
        </w:rPr>
        <w:t xml:space="preserve">offset_free</w:t>
      </w:r>
      <w:r>
        <w:t xml:space="preserve"> </w:t>
      </w:r>
      <w:r>
        <w:t xml:space="preserve">ползет влево).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12</w:t>
      </w:r>
      <w:r>
        <w:t xml:space="preserve"> </w:t>
      </w:r>
      <w:r>
        <w:t xml:space="preserve">— размер структуры</w:t>
      </w:r>
      <w:r>
        <w:t xml:space="preserve"> </w:t>
      </w:r>
      <w:r>
        <w:rPr>
          <w:rStyle w:val="VerbatimChar"/>
        </w:rPr>
        <w:t xml:space="preserve">THeader_Key</w:t>
      </w:r>
      <w:r>
        <w:t xml:space="preserve">.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16</w:t>
      </w:r>
      <w:r>
        <w:t xml:space="preserve"> </w:t>
      </w:r>
      <w:r>
        <w:t xml:space="preserve">— размер структуры</w:t>
      </w:r>
      <w:r>
        <w:t xml:space="preserve"> </w:t>
      </w:r>
      <w:r>
        <w:rPr>
          <w:rStyle w:val="VerbatimChar"/>
        </w:rPr>
        <w:t xml:space="preserve">THeader_Block</w:t>
      </w:r>
      <w:r>
        <w:t xml:space="preserve">.</w:t>
      </w:r>
    </w:p>
    <w:bookmarkEnd w:id="15"/>
    <w:bookmarkStart w:id="16" w:name="дополнительные-характеристики"/>
    <w:p>
      <w:pPr>
        <w:pStyle w:val="Heading2"/>
      </w:pPr>
      <w:r>
        <w:t xml:space="preserve">4. Дополнительные характеристики</w:t>
      </w:r>
    </w:p>
    <w:p>
      <w:pPr>
        <w:pStyle w:val="Compact"/>
        <w:numPr>
          <w:ilvl w:val="0"/>
          <w:numId w:val="1002"/>
        </w:numPr>
      </w:pPr>
      <w:r>
        <w:rPr>
          <w:b/>
          <w:bCs/>
        </w:rPr>
        <w:t xml:space="preserve">Среднее количество терминов в блоке:</w:t>
      </w:r>
      <w:r>
        <w:t xml:space="preserve"> </w:t>
      </w:r>
      <w:r>
        <w:t xml:space="preserve">около 100.</w:t>
      </w:r>
    </w:p>
    <w:p>
      <w:pPr>
        <w:pStyle w:val="Compact"/>
        <w:numPr>
          <w:ilvl w:val="0"/>
          <w:numId w:val="1002"/>
        </w:numPr>
      </w:pPr>
      <w:r>
        <w:rPr>
          <w:b/>
          <w:bCs/>
        </w:rPr>
        <w:t xml:space="preserve">Максимальная длина термина:</w:t>
      </w:r>
      <w:r>
        <w:t xml:space="preserve"> </w:t>
      </w:r>
      <w:r>
        <w:t xml:space="preserve">255 байт.</w:t>
      </w:r>
    </w:p>
    <w:p>
      <w:pPr>
        <w:pStyle w:val="Compact"/>
        <w:numPr>
          <w:ilvl w:val="0"/>
          <w:numId w:val="1002"/>
        </w:numPr>
      </w:pPr>
      <w:r>
        <w:rPr>
          <w:b/>
          <w:bCs/>
        </w:rPr>
        <w:t xml:space="preserve">Экономия места:</w:t>
      </w:r>
      <w:r>
        <w:t xml:space="preserve"> </w:t>
      </w:r>
      <w:r>
        <w:t xml:space="preserve">В ИРБИС применяется обрезка повторяющихся частей ключей или использование общих префиксов для оптимизации заполнения блоков, однако в данном файле хранятся полные длины текущих узлов.</w:t>
      </w:r>
    </w:p>
    <w:p>
      <w:pPr>
        <w:pStyle w:val="Compact"/>
        <w:numPr>
          <w:ilvl w:val="0"/>
          <w:numId w:val="1002"/>
        </w:numPr>
      </w:pPr>
      <w:r>
        <w:rPr>
          <w:b/>
          <w:bCs/>
        </w:rPr>
        <w:t xml:space="preserve">Поиск:</w:t>
      </w:r>
      <w:r>
        <w:t xml:space="preserve"> </w:t>
      </w:r>
      <w:r>
        <w:t xml:space="preserve">Для поиска необходимо прочитать первый корневой узел дерева (который определяется корневым указателем БД) и спускаться вниз по</w:t>
      </w:r>
      <w:r>
        <w:t xml:space="preserve"> </w:t>
      </w:r>
      <w:r>
        <w:rPr>
          <w:rStyle w:val="VerbatimChar"/>
        </w:rPr>
        <w:t xml:space="preserve">nxt</w:t>
      </w:r>
      <w:r>
        <w:t xml:space="preserve">, сравнивая искомый термин со значениями ключей в блоке (в ИРБИС применяется бинарный поиск по массиву ключей внутри загруженного блока).</w:t>
      </w:r>
    </w:p>
    <w:bookmarkEnd w:id="16"/>
    <w:bookmarkEnd w:id="17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Формат файла .n01 (Словарь ИРБИС64 - Узлы дерева поиска)</dc:title>
  <dc:creator/>
  <cp:keywords/>
  <dcterms:created xsi:type="dcterms:W3CDTF">2026-09-04T16:36:01Z</dcterms:created>
  <dcterms:modified xsi:type="dcterms:W3CDTF">2026-09-04T16:36:01Z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