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Настройка БД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настройка-бд"/>
    <w:p>
      <w:pPr>
        <w:pStyle w:val="Heading1"/>
      </w:pPr>
      <w:r>
        <w:t xml:space="preserve">Настройка БД</w:t>
      </w:r>
    </w:p>
    <w:p>
      <w:pPr>
        <w:pStyle w:val="FirstParagraph"/>
      </w:pPr>
      <w:r>
        <w:t xml:space="preserve">В этом разделе задаются основные базы данных и файлы меню/форматов, используемые модулем.</w:t>
      </w:r>
    </w:p>
    <w:bookmarkStart w:id="9" w:name="имя-бд-по-умолчанию-defaultdb"/>
    <w:p>
      <w:pPr>
        <w:pStyle w:val="Heading2"/>
      </w:pPr>
      <w:r>
        <w:t xml:space="preserve">1. Имя БД по умолчанию (</w:t>
      </w:r>
      <w:r>
        <w:rPr>
          <w:rStyle w:val="VerbatimChar"/>
        </w:rPr>
        <w:t xml:space="preserve">defaultdb</w:t>
      </w:r>
      <w:r>
        <w:t xml:space="preserve">)</w:t>
      </w:r>
    </w:p>
    <w:p>
      <w:pPr>
        <w:pStyle w:val="FirstParagraph"/>
      </w:pPr>
      <w:r>
        <w:t xml:space="preserve">База данных, к которой модуль обращается по умолчанию (изначальное значение берется из глобальной системной переменной</w:t>
      </w:r>
      <w:r>
        <w:t xml:space="preserve"> </w:t>
      </w:r>
      <w:r>
        <w:rPr>
          <w:rStyle w:val="VerbatimChar"/>
        </w:rPr>
        <w:t xml:space="preserve">DBCMPL</w:t>
      </w:r>
      <w:r>
        <w:t xml:space="preserve">).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Влияет на:</w:t>
      </w:r>
    </w:p>
    <w:p>
      <w:pPr>
        <w:pStyle w:val="Compact"/>
        <w:numPr>
          <w:ilvl w:val="1"/>
          <w:numId w:val="1002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ShowCheckFondForm</w:t>
      </w:r>
      <w:r>
        <w:t xml:space="preserve"> </w:t>
      </w:r>
      <w:r>
        <w:t xml:space="preserve">(Страница «Проверка фонда») — используется как резервная БД для поиска, если не задан параметр</w:t>
      </w:r>
      <w:r>
        <w:t xml:space="preserve"> </w:t>
      </w:r>
      <w:r>
        <w:rPr>
          <w:rStyle w:val="VerbatimChar"/>
        </w:rPr>
        <w:t xml:space="preserve">checkFondDatabases</w:t>
      </w:r>
      <w:r>
        <w:t xml:space="preserve">. Кроме того,</w:t>
      </w:r>
      <w:r>
        <w:t xml:space="preserve"> </w:t>
      </w:r>
      <w:r>
        <w:rPr>
          <w:b/>
          <w:bCs/>
        </w:rPr>
        <w:t xml:space="preserve">всегда</w:t>
      </w:r>
      <w:r>
        <w:t xml:space="preserve"> </w:t>
      </w:r>
      <w:r>
        <w:t xml:space="preserve">используется для получения словаря мест хранения (</w:t>
      </w:r>
      <w:r>
        <w:rPr>
          <w:rStyle w:val="VerbatimChar"/>
        </w:rPr>
        <w:t xml:space="preserve">mhr.mnu</w:t>
      </w:r>
      <w:r>
        <w:t xml:space="preserve">) для выпадающего списка в классической форме ввода.</w:t>
      </w:r>
    </w:p>
    <w:p>
      <w:pPr>
        <w:pStyle w:val="Compact"/>
        <w:numPr>
          <w:ilvl w:val="1"/>
          <w:numId w:val="1002"/>
        </w:numPr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Complectator/ProvFondReport</w:t>
      </w:r>
      <w:r>
        <w:t xml:space="preserve"> </w:t>
      </w:r>
      <w:r>
        <w:t xml:space="preserve">(«Отчет о проверке фонда») — для получения словаря</w:t>
      </w:r>
      <w:r>
        <w:t xml:space="preserve"> </w:t>
      </w:r>
      <w:r>
        <w:rPr>
          <w:rStyle w:val="VerbatimChar"/>
        </w:rPr>
        <w:t xml:space="preserve">mhr.mnu</w:t>
      </w:r>
      <w:r>
        <w:t xml:space="preserve"> </w:t>
      </w:r>
      <w:r>
        <w:t xml:space="preserve">и поиска, если не задан параметр</w:t>
      </w:r>
      <w:r>
        <w:t xml:space="preserve"> </w:t>
      </w:r>
      <w:r>
        <w:rPr>
          <w:rStyle w:val="VerbatimChar"/>
        </w:rPr>
        <w:t xml:space="preserve">checkFondDatabases</w:t>
      </w:r>
      <w:r>
        <w:t xml:space="preserve">.</w:t>
      </w:r>
    </w:p>
    <w:p>
      <w:pPr>
        <w:pStyle w:val="Compact"/>
        <w:numPr>
          <w:ilvl w:val="1"/>
          <w:numId w:val="1002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Show</w:t>
      </w:r>
      <w:r>
        <w:t xml:space="preserve"> </w:t>
      </w:r>
      <w:r>
        <w:t xml:space="preserve">— определяет базу данных, которая будет загружена при старте АРМ Комплектатор по умолчанию (передается как</w:t>
      </w:r>
      <w:r>
        <w:t xml:space="preserve"> </w:t>
      </w:r>
      <w:r>
        <w:rPr>
          <w:rStyle w:val="VerbatimChar"/>
        </w:rPr>
        <w:t xml:space="preserve">irbDb</w:t>
      </w:r>
      <w:r>
        <w:t xml:space="preserve">), а также используется для загрузки словаря этапов работы (</w:t>
      </w:r>
      <w:r>
        <w:rPr>
          <w:rStyle w:val="VerbatimChar"/>
        </w:rPr>
        <w:t xml:space="preserve">etr.mnu</w:t>
      </w:r>
      <w:r>
        <w:t xml:space="preserve">).</w:t>
      </w:r>
    </w:p>
    <w:p>
      <w:pPr>
        <w:pStyle w:val="Compact"/>
        <w:numPr>
          <w:ilvl w:val="1"/>
          <w:numId w:val="1002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GetEkp</w:t>
      </w:r>
      <w:r>
        <w:t xml:space="preserve"> </w:t>
      </w:r>
      <w:r>
        <w:t xml:space="preserve">— использует переданную при старте АРМа БД по умолчанию (</w:t>
      </w:r>
      <w:r>
        <w:rPr>
          <w:rStyle w:val="VerbatimChar"/>
        </w:rPr>
        <w:t xml:space="preserve">irbDb</w:t>
      </w:r>
      <w:r>
        <w:t xml:space="preserve">) для загрузки справочника</w:t>
      </w:r>
      <w:r>
        <w:t xml:space="preserve"> </w:t>
      </w:r>
      <w:r>
        <w:rPr>
          <w:rStyle w:val="VerbatimChar"/>
        </w:rPr>
        <w:t xml:space="preserve">DBNAM2.MNU</w:t>
      </w:r>
      <w:r>
        <w:t xml:space="preserve">, который формирует пункты меню кнопки «Выбрать БД для заимствования данных».</w:t>
      </w:r>
    </w:p>
    <w:bookmarkEnd w:id="9"/>
    <w:bookmarkStart w:id="10" w:name="имя-бд-комплектования-cmpldbn"/>
    <w:p>
      <w:pPr>
        <w:pStyle w:val="Heading2"/>
      </w:pPr>
      <w:r>
        <w:t xml:space="preserve">2. Имя БД комплектования (</w:t>
      </w:r>
      <w:r>
        <w:rPr>
          <w:rStyle w:val="VerbatimChar"/>
        </w:rPr>
        <w:t xml:space="preserve">cmpldbn</w:t>
      </w:r>
      <w:r>
        <w:t xml:space="preserve">)</w:t>
      </w:r>
    </w:p>
    <w:p>
      <w:pPr>
        <w:pStyle w:val="FirstParagraph"/>
      </w:pPr>
      <w:r>
        <w:t xml:space="preserve">База данных, используемая непосредственно для задач комплектования (обычно совпадает с БД по умолчанию, начальное значение также берется из системной переменной</w:t>
      </w:r>
      <w:r>
        <w:t xml:space="preserve"> </w:t>
      </w:r>
      <w:r>
        <w:rPr>
          <w:rStyle w:val="VerbatimChar"/>
        </w:rPr>
        <w:t xml:space="preserve">DBCMPL</w:t>
      </w:r>
      <w:r>
        <w:t xml:space="preserve">).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Влияет на:</w:t>
      </w:r>
    </w:p>
    <w:p>
      <w:pPr>
        <w:pStyle w:val="Compact"/>
        <w:numPr>
          <w:ilvl w:val="1"/>
          <w:numId w:val="1004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Show</w:t>
      </w:r>
      <w:r>
        <w:t xml:space="preserve"> </w:t>
      </w:r>
      <w:r>
        <w:t xml:space="preserve">— передается в клиентский интерфейс как</w:t>
      </w:r>
      <w:r>
        <w:t xml:space="preserve"> </w:t>
      </w:r>
      <w:r>
        <w:rPr>
          <w:rStyle w:val="VerbatimChar"/>
        </w:rPr>
        <w:t xml:space="preserve">cmpldbn</w:t>
      </w:r>
      <w:r>
        <w:t xml:space="preserve"> </w:t>
      </w:r>
      <w:r>
        <w:t xml:space="preserve">и устанавливается как выбранная по умолчанию БД в выпадающем списке баз данных на главной панели.</w:t>
      </w:r>
    </w:p>
    <w:p>
      <w:pPr>
        <w:pStyle w:val="Compact"/>
        <w:numPr>
          <w:ilvl w:val="1"/>
          <w:numId w:val="1004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FillUpKsu</w:t>
      </w:r>
      <w:r>
        <w:t xml:space="preserve"> </w:t>
      </w:r>
      <w:r>
        <w:t xml:space="preserve">— используется по умолчанию, если не выбраны другие БД. Кроме того, параметр работает как переключатель логики поиска: если обрабатываемая БД совпадает с</w:t>
      </w:r>
      <w:r>
        <w:t xml:space="preserve"> </w:t>
      </w:r>
      <w:r>
        <w:rPr>
          <w:rStyle w:val="VerbatimChar"/>
        </w:rPr>
        <w:t xml:space="preserve">cmpldbn</w:t>
      </w:r>
      <w:r>
        <w:t xml:space="preserve">, система ищет записи по префиксам базы комплектования (</w:t>
      </w:r>
      <w:r>
        <w:rPr>
          <w:rStyle w:val="VerbatimChar"/>
        </w:rPr>
        <w:t xml:space="preserve">PrefKsuCmpl</w:t>
      </w:r>
      <w:r>
        <w:t xml:space="preserve">,</w:t>
      </w:r>
      <w:r>
        <w:t xml:space="preserve"> </w:t>
      </w:r>
      <w:r>
        <w:rPr>
          <w:rStyle w:val="VerbatimChar"/>
        </w:rPr>
        <w:t xml:space="preserve">PrefKsuP</w:t>
      </w:r>
      <w:r>
        <w:t xml:space="preserve"> </w:t>
      </w:r>
      <w:r>
        <w:t xml:space="preserve">и др.), если нет — используются префиксы электронного каталога (</w:t>
      </w:r>
      <w:r>
        <w:rPr>
          <w:rStyle w:val="VerbatimChar"/>
        </w:rPr>
        <w:t xml:space="preserve">PrefKsuCat</w:t>
      </w:r>
      <w:r>
        <w:t xml:space="preserve">,</w:t>
      </w:r>
      <w:r>
        <w:t xml:space="preserve"> </w:t>
      </w:r>
      <w:r>
        <w:rPr>
          <w:rStyle w:val="VerbatimChar"/>
        </w:rPr>
        <w:t xml:space="preserve">PrefKsuS</w:t>
      </w:r>
      <w:r>
        <w:t xml:space="preserve">).</w:t>
      </w:r>
    </w:p>
    <w:p>
      <w:pPr>
        <w:pStyle w:val="Compact"/>
        <w:numPr>
          <w:ilvl w:val="1"/>
          <w:numId w:val="1004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KsuToBook</w:t>
      </w:r>
      <w:r>
        <w:t xml:space="preserve"> </w:t>
      </w:r>
      <w:r>
        <w:t xml:space="preserve">— используется как резервная БД для поиска связанных записей (если список баз не был задан явно или не найден в поле 21).</w:t>
      </w:r>
    </w:p>
    <w:p>
      <w:pPr>
        <w:pStyle w:val="Compact"/>
        <w:numPr>
          <w:ilvl w:val="1"/>
          <w:numId w:val="1004"/>
        </w:numPr>
      </w:pPr>
      <w:r>
        <w:t xml:space="preserve">Экшены</w:t>
      </w:r>
      <w:r>
        <w:t xml:space="preserve"> </w:t>
      </w:r>
      <w:r>
        <w:rPr>
          <w:rStyle w:val="VerbatimChar"/>
        </w:rPr>
        <w:t xml:space="preserve">GetFillUpKsuWindow</w:t>
      </w:r>
      <w:r>
        <w:t xml:space="preserve">,</w:t>
      </w:r>
      <w:r>
        <w:t xml:space="preserve"> </w:t>
      </w:r>
      <w:r>
        <w:rPr>
          <w:rStyle w:val="VerbatimChar"/>
        </w:rPr>
        <w:t xml:space="preserve">GetPrintWindow</w:t>
      </w:r>
      <w:r>
        <w:t xml:space="preserve"> </w:t>
      </w:r>
      <w:r>
        <w:t xml:space="preserve">— используется для получения структуры доступных файлов и меню. Обратите внимание, что клиентский скрипт всегда передает</w:t>
      </w:r>
      <w:r>
        <w:t xml:space="preserve"> </w:t>
      </w:r>
      <w:r>
        <w:rPr>
          <w:rStyle w:val="VerbatimChar"/>
        </w:rPr>
        <w:t xml:space="preserve">cmpldbn</w:t>
      </w:r>
      <w:r>
        <w:t xml:space="preserve"> </w:t>
      </w:r>
      <w:r>
        <w:t xml:space="preserve">в экшен</w:t>
      </w:r>
      <w:r>
        <w:t xml:space="preserve"> </w:t>
      </w:r>
      <w:r>
        <w:rPr>
          <w:rStyle w:val="VerbatimChar"/>
        </w:rPr>
        <w:t xml:space="preserve">GetFillUpKsuWindow</w:t>
      </w:r>
      <w:r>
        <w:t xml:space="preserve"> </w:t>
      </w:r>
      <w:r>
        <w:t xml:space="preserve">в качестве БД для чтения пополняемой записи, независимо от того, какая БД открыта в интерфейсе.</w:t>
      </w:r>
    </w:p>
    <w:p>
      <w:pPr>
        <w:pStyle w:val="FirstParagraph"/>
      </w:pPr>
      <w:r>
        <w:t xml:space="preserve">@@</w:t>
      </w:r>
      <w:r>
        <w:t xml:space="preserve">@warn</w:t>
      </w:r>
      <w:r>
        <w:t xml:space="preserve"> </w:t>
      </w:r>
      <w:r>
        <w:rPr>
          <w:b/>
          <w:bCs/>
        </w:rPr>
        <w:t xml:space="preserve">Внимание:</w:t>
      </w:r>
      <w:r>
        <w:t xml:space="preserve"> </w:t>
      </w:r>
      <w:r>
        <w:t xml:space="preserve">Хотя настройка позволяет задать произвольное имя базы комплектования, в некоторых системных скриптах (например,</w:t>
      </w:r>
      <w:r>
        <w:t xml:space="preserve"> </w:t>
      </w:r>
      <w:r>
        <w:rPr>
          <w:rStyle w:val="VerbatimChar"/>
        </w:rPr>
        <w:t xml:space="preserve">KsuToBook.inc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GetPrintWindow.inc</w:t>
      </w:r>
      <w:r>
        <w:t xml:space="preserve">) присутствует жесткая проверка на совпадение с именем</w:t>
      </w:r>
      <w:r>
        <w:t xml:space="preserve"> </w:t>
      </w:r>
      <w:r>
        <w:rPr>
          <w:rStyle w:val="VerbatimChar"/>
        </w:rPr>
        <w:t xml:space="preserve">CMPL</w:t>
      </w:r>
      <w:r>
        <w:t xml:space="preserve"> </w:t>
      </w:r>
      <w:r>
        <w:t xml:space="preserve">(вместо переменной</w:t>
      </w:r>
      <w:r>
        <w:t xml:space="preserve"> </w:t>
      </w:r>
      <w:r>
        <w:rPr>
          <w:rStyle w:val="VerbatimChar"/>
        </w:rPr>
        <w:t xml:space="preserve">cmpldbn</w:t>
      </w:r>
      <w:r>
        <w:t xml:space="preserve">). Если базу переименовать, могут возникнуть ошибки с загрузкой нужных списков печатных форм и переходом по связям заказов. Рекомендуется оставлять имя базы комплектования равным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  <w:r>
        <w:t xml:space="preserve"> </w:t>
      </w:r>
      <w:r>
        <w:t xml:space="preserve">@@@</w:t>
      </w:r>
    </w:p>
    <w:bookmarkEnd w:id="10"/>
    <w:bookmarkStart w:id="11" w:name="X378772c8d59c639a7beb2142c8d09e56c26fd46"/>
    <w:p>
      <w:pPr>
        <w:pStyle w:val="Heading2"/>
      </w:pPr>
      <w:r>
        <w:t xml:space="preserve">3. Имя файла описания выходных форм (</w:t>
      </w:r>
      <w:r>
        <w:rPr>
          <w:rStyle w:val="VerbatimChar"/>
        </w:rPr>
        <w:t xml:space="preserve">FileSelTab</w:t>
      </w:r>
      <w:r>
        <w:t xml:space="preserve">)</w:t>
      </w:r>
    </w:p>
    <w:p>
      <w:pPr>
        <w:pStyle w:val="FirstParagraph"/>
      </w:pPr>
      <w:r>
        <w:t xml:space="preserve">Имя файла описания выходных форм (по умолчанию</w:t>
      </w:r>
      <w:r>
        <w:t xml:space="preserve"> </w:t>
      </w:r>
      <w:r>
        <w:rPr>
          <w:rStyle w:val="VerbatimChar"/>
        </w:rPr>
        <w:t xml:space="preserve">seltab64.par</w:t>
      </w:r>
      <w:r>
        <w:t xml:space="preserve">).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Влияет на:</w:t>
      </w:r>
      <w:r>
        <w:t xml:space="preserve"> </w:t>
      </w:r>
      <w:r>
        <w:t xml:space="preserve">Команду</w:t>
      </w:r>
      <w:r>
        <w:t xml:space="preserve"> </w:t>
      </w:r>
      <w:r>
        <w:rPr>
          <w:b/>
          <w:bCs/>
        </w:rPr>
        <w:t xml:space="preserve">Выходные формы</w:t>
      </w:r>
      <w:r>
        <w:t xml:space="preserve"> </w:t>
      </w:r>
      <w:r>
        <w:t xml:space="preserve">в списке записей АРМа «Комплектатор» и действие</w:t>
      </w:r>
      <w:r>
        <w:t xml:space="preserve"> </w:t>
      </w:r>
      <w:r>
        <w:rPr>
          <w:rStyle w:val="VerbatimChar"/>
        </w:rPr>
        <w:t xml:space="preserve">TabForms/Seltab64</w:t>
      </w:r>
      <w:r>
        <w:t xml:space="preserve">. Файл читается из базы комплектования и задает сценарии специальных печатных форм: форму с опросным листом, форму по отмеченным записям, форму с отбором по диапазону дат или простую выходную форму. Если файл не найден или в нем нет выбранной формы, окно печати не сможет подготовить параметры вывода.</w:t>
      </w:r>
    </w:p>
    <w:bookmarkEnd w:id="11"/>
    <w:bookmarkStart w:id="12" w:name="имя-файла-бд-каталога-dbname3"/>
    <w:p>
      <w:pPr>
        <w:pStyle w:val="Heading2"/>
      </w:pPr>
      <w:r>
        <w:t xml:space="preserve">4. Имя файла БД каталога (</w:t>
      </w:r>
      <w:r>
        <w:rPr>
          <w:rStyle w:val="VerbatimChar"/>
        </w:rPr>
        <w:t xml:space="preserve">Dbname3</w:t>
      </w:r>
      <w:r>
        <w:t xml:space="preserve">)</w:t>
      </w:r>
    </w:p>
    <w:p>
      <w:pPr>
        <w:pStyle w:val="FirstParagraph"/>
      </w:pPr>
      <w:r>
        <w:t xml:space="preserve">Имя файла-справочника баз данных каталога (по умолчанию</w:t>
      </w:r>
      <w:r>
        <w:t xml:space="preserve"> </w:t>
      </w:r>
      <w:r>
        <w:rPr>
          <w:rStyle w:val="VerbatimChar"/>
        </w:rPr>
        <w:t xml:space="preserve">dbnam3.mnu</w:t>
      </w:r>
      <w:r>
        <w:t xml:space="preserve">).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Влияет на:</w:t>
      </w:r>
    </w:p>
    <w:p>
      <w:pPr>
        <w:pStyle w:val="Compact"/>
        <w:numPr>
          <w:ilvl w:val="1"/>
          <w:numId w:val="1007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FillUpKsu</w:t>
      </w:r>
      <w:r>
        <w:t xml:space="preserve"> </w:t>
      </w:r>
      <w:r>
        <w:t xml:space="preserve">— чтение списка доступных БД, по которым будет выполняться сбор статистики. Если ни одна БД из справочника не была отмечена пользователем, статистика собирается по базе</w:t>
      </w:r>
      <w:r>
        <w:t xml:space="preserve"> </w:t>
      </w:r>
      <w:r>
        <w:rPr>
          <w:rStyle w:val="VerbatimChar"/>
        </w:rPr>
        <w:t xml:space="preserve">cmpldbn</w:t>
      </w:r>
      <w:r>
        <w:t xml:space="preserve">.</w:t>
      </w:r>
    </w:p>
    <w:p>
      <w:pPr>
        <w:pStyle w:val="Compact"/>
        <w:numPr>
          <w:ilvl w:val="1"/>
          <w:numId w:val="1007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GetFillUpKsuWindow</w:t>
      </w:r>
      <w:r>
        <w:t xml:space="preserve"> </w:t>
      </w:r>
      <w:r>
        <w:t xml:space="preserve">— формирование чекбоксов для выбора баз данных в интерфейсе.</w:t>
      </w:r>
    </w:p>
    <w:p>
      <w:pPr>
        <w:pStyle w:val="Compact"/>
        <w:numPr>
          <w:ilvl w:val="1"/>
          <w:numId w:val="1007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KsuToBook</w:t>
      </w:r>
      <w:r>
        <w:t xml:space="preserve"> </w:t>
      </w:r>
      <w:r>
        <w:t xml:space="preserve">— получение списка БД для формирования связи. Если в записи заказа/КСУ отсутствует поле 21 (список баз данных), система проверяет, были ли переданы из интерфейса базы, перечисленные в этом справочнике.</w:t>
      </w:r>
    </w:p>
    <w:bookmarkEnd w:id="12"/>
    <w:bookmarkStart w:id="13" w:name="X2a65b0b395c80dc9856ebaa08f6be3e89c9263f"/>
    <w:p>
      <w:pPr>
        <w:pStyle w:val="Heading2"/>
      </w:pPr>
      <w:r>
        <w:t xml:space="preserve">5. Имя файла глобальной корректировки (</w:t>
      </w:r>
      <w:r>
        <w:rPr>
          <w:rStyle w:val="VerbatimChar"/>
        </w:rPr>
        <w:t xml:space="preserve">StatKsuGbl</w:t>
      </w:r>
      <w:r>
        <w:t xml:space="preserve">)</w:t>
      </w:r>
    </w:p>
    <w:p>
      <w:pPr>
        <w:pStyle w:val="FirstParagraph"/>
      </w:pPr>
      <w:r>
        <w:t xml:space="preserve">Имя файла глобальной корректировки, выполняющейся перед пополнением КСУ и суммарного заказа (по умолчанию</w:t>
      </w:r>
      <w:r>
        <w:t xml:space="preserve"> </w:t>
      </w:r>
      <w:r>
        <w:rPr>
          <w:rStyle w:val="VerbatimChar"/>
        </w:rPr>
        <w:t xml:space="preserve">StatKsu.Gbl</w:t>
      </w:r>
      <w:r>
        <w:t xml:space="preserve">).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Влияет на:</w:t>
      </w:r>
      <w:r>
        <w:t xml:space="preserve"> </w:t>
      </w:r>
      <w:r>
        <w:t xml:space="preserve">Процессы запуска глобальных корректировок перед подведением итогов поступлений.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Настройка БД</dc:title>
  <dc:creator/>
  <cp:keywords/>
  <dcterms:created xsi:type="dcterms:W3CDTF">2026-09-05T22:35:06Z</dcterms:created>
  <dcterms:modified xsi:type="dcterms:W3CDTF">2026-09-05T22:35:06Z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