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и назначение форматов системы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83783de9613c5c9fa24728b799b898705a33c"/>
    <w:p>
      <w:pPr>
        <w:pStyle w:val="Heading1"/>
      </w:pPr>
      <w:r>
        <w:t xml:space="preserve">Список и назначение форматов системы ИРБИС</w:t>
      </w:r>
    </w:p>
    <w:p>
      <w:pPr>
        <w:pStyle w:val="FirstParagraph"/>
      </w:pPr>
      <w:r>
        <w:t xml:space="preserve">Список и назначение основных форматов для БД IBIS и других БД Электронного каталога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"/>
        <w:gridCol w:w="419"/>
        <w:gridCol w:w="73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кода вида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!11s</w:t>
            </w:r>
          </w:p>
        </w:tc>
        <w:tc>
          <w:tcPr/>
          <w:p>
            <w:pPr>
              <w:pStyle w:val="Compact"/>
            </w:pPr>
            <w:r>
              <w:t xml:space="preserve">ФЛК ISSN серии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!19</w:t>
            </w:r>
          </w:p>
        </w:tc>
        <w:tc>
          <w:tcPr/>
          <w:p>
            <w:pPr>
              <w:pStyle w:val="Compact"/>
            </w:pPr>
            <w:r>
              <w:t xml:space="preserve">ФЛК на дублетность Идентификатора нетекстового материала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(кроме томов многотомного издания)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!461</w:t>
            </w:r>
          </w:p>
        </w:tc>
        <w:tc>
          <w:tcPr/>
          <w:p>
            <w:pPr>
              <w:pStyle w:val="Compact"/>
            </w:pPr>
            <w:r>
              <w:t xml:space="preserve">ФЛК ISBN и ISSN в общей части описания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!910w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!934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!936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“Номер”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!940w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“Архивные данные”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 для ЦБС и ВУЗа”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!963</w:t>
            </w:r>
          </w:p>
        </w:tc>
        <w:tc>
          <w:tcPr/>
          <w:p>
            <w:pPr>
              <w:pStyle w:val="Compact"/>
            </w:pPr>
            <w:r>
              <w:t xml:space="preserve">ФЛК автора для аналитического описания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!964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“Индекс ГРНТИ”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!amovf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с инвертированием ФИО)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– в поля 200, 461,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!amovi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(полные данные) – в поля 700, 701, 702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!amovik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данные) – в поле 391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!amovip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(неполные данные) – в поле 600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!amovmr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“Разночтение автора”</w:t>
            </w:r>
            <w:r>
              <w:t xml:space="preserve"> </w:t>
            </w:r>
            <w:r>
              <w:t xml:space="preserve">с использованием словаря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!amovo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461, 961, 963 (автор единственный)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!amovu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330, 454, 922, (3 подполя авторов) и 470, 481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!dmoda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!dmodc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“Страна издания”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!dmodcol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!dmodgeo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!dmodhd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“Характер документа”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!dmodzj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“Язык”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!dmodk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“Ключевые слова”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!dmodo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!dmodr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!dmodrin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“Другая классификация”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!dmods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!dmodt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!dmodu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!f8avt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!f8col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!f8org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!f8p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“Персоналия”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!f8sub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словарях</w:t>
            </w:r>
            <w:r>
              <w:t xml:space="preserve"> </w:t>
            </w:r>
            <w:r>
              <w:t xml:space="preserve">“Предметные рубрики”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!f8tit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!kd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PAZK и PVK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!kds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!kdsp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SPEC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!kdud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AUNTD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!kkkc</w:t>
            </w:r>
          </w:p>
        </w:tc>
        <w:tc>
          <w:tcPr/>
          <w:p>
            <w:pPr>
              <w:pStyle w:val="Compact"/>
            </w:pPr>
            <w:r>
              <w:t xml:space="preserve">Ссылочная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!kkkdw</w:t>
            </w:r>
          </w:p>
        </w:tc>
        <w:tc>
          <w:tcPr/>
          <w:p>
            <w:pPr>
              <w:pStyle w:val="Compact"/>
            </w:pPr>
            <w:r>
              <w:t xml:space="preserve">Добавочная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!kkkfw</w:t>
            </w:r>
          </w:p>
        </w:tc>
        <w:tc>
          <w:tcPr/>
          <w:p>
            <w:pPr>
              <w:pStyle w:val="Compact"/>
            </w:pPr>
            <w:r>
              <w:t xml:space="preserve">Формуляр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!kkki</w:t>
            </w:r>
          </w:p>
        </w:tc>
        <w:tc>
          <w:tcPr/>
          <w:p>
            <w:pPr>
              <w:pStyle w:val="Compact"/>
            </w:pPr>
            <w:r>
              <w:t xml:space="preserve">Оборот каталожной карточки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!kkkow</w:t>
            </w:r>
          </w:p>
        </w:tc>
        <w:tc>
          <w:tcPr/>
          <w:p>
            <w:pPr>
              <w:pStyle w:val="Compact"/>
            </w:pPr>
            <w:r>
              <w:t xml:space="preserve">Основная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!kkkt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!kkkuw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!mmovf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в</w:t>
            </w:r>
            <w:r>
              <w:t xml:space="preserve"> </w:t>
            </w:r>
            <w:r>
              <w:t xml:space="preserve">“собранном”</w:t>
            </w:r>
            <w:r>
              <w:t xml:space="preserve"> </w:t>
            </w:r>
            <w:r>
              <w:t xml:space="preserve">виде)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- в поля 200, 961,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!mmovk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pazk), 711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!mmovo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(только наименование) - в поля 225,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!mmovv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PVK), 971, 972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!pmovb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ISBN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!pmovt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!pmovts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!pmovxs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приложении с использованием ISSN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!pmovy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!pmovys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!rmova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авторов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!rmovt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заглавий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!scnt1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!scnt10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“Рецензия – Рецензируемый документ”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!scnt2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!scnt3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!scnt4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!scnt5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!scnt6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!scnt7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“Журнал - Номера”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!scnt8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“Номер журнала – Статьи”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!scnt9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“Основной документ – Приложение”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!smov</w:t>
            </w:r>
          </w:p>
        </w:tc>
        <w:tc>
          <w:tcPr/>
          <w:p>
            <w:pPr>
              <w:pStyle w:val="Compact"/>
            </w:pPr>
            <w:r>
              <w:t xml:space="preserve">Ввод Предметных и Географических рубрик с использованием словарей (поля 606, 607)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!smova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Параллельном издании с использованием словаря авторов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!smovt</w:t>
            </w:r>
          </w:p>
        </w:tc>
        <w:tc>
          <w:tcPr/>
          <w:p>
            <w:pPr>
              <w:pStyle w:val="Compact"/>
            </w:pPr>
            <w:r>
              <w:t xml:space="preserve">Ввод данных о Параллельном издании с использованием словаря заглавий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!tmovo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(только наименование) - в поля 200 (для журналов), 330, 463, 481, 510, 517, 922, 923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!tmov225</w:t>
            </w:r>
          </w:p>
        </w:tc>
        <w:tc>
          <w:tcPr/>
          <w:p>
            <w:pPr>
              <w:pStyle w:val="Compact"/>
            </w:pPr>
            <w:r>
              <w:t xml:space="preserve">Ввод заглавия серии с использованием словаря (наименование и сведения об ответственности) – в поле 225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!tmov46a</w:t>
            </w:r>
          </w:p>
        </w:tc>
        <w:tc>
          <w:tcPr/>
          <w:p>
            <w:pPr>
              <w:pStyle w:val="Compact"/>
            </w:pPr>
            <w:r>
              <w:t xml:space="preserve">Ввод заглавий серии с использованием словаря – в поле 46 (сведения о серии)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!tmov46c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(полные данные с разбиением по подполям) – в поле 46 (сведения о предыдущем издании)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!tmov963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сведения об ответственности) – в поле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!tmovpj</w:t>
            </w:r>
          </w:p>
        </w:tc>
        <w:tc>
          <w:tcPr/>
          <w:p>
            <w:pPr>
              <w:pStyle w:val="Compact"/>
            </w:pPr>
            <w:r>
              <w:t xml:space="preserve">Ввод заглавия с использованием словаря (полные данные с разбиением по подполям) – в поля 430,440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!tmovzh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признак нехарактерного заглавия) - в поля 200 (не журналы),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!wkw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boko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brdat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датам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brf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заголовку БО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  <w:r>
              <w:t xml:space="preserve">briefko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bryear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году издания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freekz0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– свободные экземпляры для Книговыдачи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fullw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на WEB –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103</w:t>
            </w:r>
          </w:p>
        </w:tc>
        <w:tc>
          <w:tcPr/>
          <w:p>
            <w:pPr>
              <w:pStyle w:val="Compact"/>
            </w:pPr>
            <w:r>
              <w:t xml:space="preserve">ibis922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полные форматы ibisw, ibiskw, kkkw, infow, persw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104</w:t>
            </w:r>
          </w:p>
        </w:tc>
        <w:tc>
          <w:tcPr/>
          <w:p>
            <w:pPr>
              <w:pStyle w:val="Compact"/>
            </w:pPr>
            <w:r>
              <w:t xml:space="preserve">ibiskw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и документа</w:t>
            </w:r>
            <w:r>
              <w:t xml:space="preserve"> </w:t>
            </w:r>
            <w:r>
              <w:t xml:space="preserve">“Статья”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106</w:t>
            </w:r>
          </w:p>
        </w:tc>
        <w:tc>
          <w:tcPr/>
          <w:p>
            <w:pPr>
              <w:pStyle w:val="Compact"/>
            </w:pPr>
            <w:r>
              <w:t xml:space="preserve">infow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информационном виде (название ЭД – данные)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107</w:t>
            </w:r>
          </w:p>
        </w:tc>
        <w:tc>
          <w:tcPr/>
          <w:p>
            <w:pPr>
              <w:pStyle w:val="Compact"/>
            </w:pPr>
            <w:r>
              <w:t xml:space="preserve">inv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108</w:t>
            </w:r>
          </w:p>
        </w:tc>
        <w:tc>
          <w:tcPr/>
          <w:p>
            <w:pPr>
              <w:pStyle w:val="Compact"/>
            </w:pPr>
            <w:r>
              <w:t xml:space="preserve">invs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сортированных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  <w:r>
              <w:t xml:space="preserve">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“Журнал”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  <w:r>
              <w:t xml:space="preserve">kkkw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формате комплекта каталожных карточек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111</w:t>
            </w:r>
          </w:p>
        </w:tc>
        <w:tc>
          <w:tcPr/>
          <w:p>
            <w:pPr>
              <w:pStyle w:val="Compact"/>
            </w:pPr>
            <w:r>
              <w:t xml:space="preserve">koupl1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KOUPL1 (Книгообеспеченность)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koupl1h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KOUPL1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113</w:t>
            </w:r>
          </w:p>
        </w:tc>
        <w:tc>
          <w:tcPr/>
          <w:p>
            <w:pPr>
              <w:pStyle w:val="Compact"/>
            </w:pPr>
            <w: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LAND</w:t>
            </w:r>
            <w:r>
              <w:t xml:space="preserve"> </w:t>
            </w:r>
            <w:r>
              <w:t xml:space="preserve">“Спрашиваемость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114</w:t>
            </w:r>
          </w:p>
        </w:tc>
        <w:tc>
          <w:tcPr/>
          <w:p>
            <w:pPr>
              <w:pStyle w:val="Compact"/>
            </w:pPr>
            <w:r>
              <w:t xml:space="preserve">links</w:t>
            </w:r>
          </w:p>
        </w:tc>
        <w:tc>
          <w:tcPr/>
          <w:p>
            <w:pPr>
              <w:pStyle w:val="Compact"/>
            </w:pPr>
            <w:r>
              <w:t xml:space="preserve">html-формат для повторяющегося поля 951(ссылка-внешний объект)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njtpw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полном виде (с прохождением этапов технологического пути)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njw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t xml:space="preserve">persw</w:t>
            </w:r>
          </w:p>
        </w:tc>
        <w:tc>
          <w:tcPr/>
          <w:p>
            <w:pPr>
              <w:pStyle w:val="Compact"/>
            </w:pPr>
            <w:r>
              <w:t xml:space="preserve">Просмотр персоналий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p288</w:t>
            </w:r>
          </w:p>
        </w:tc>
        <w:tc>
          <w:tcPr/>
          <w:p>
            <w:pPr>
              <w:pStyle w:val="Compact"/>
            </w:pPr>
            <w:r>
              <w:t xml:space="preserve">Используется в задаче</w:t>
            </w:r>
            <w:r>
              <w:t xml:space="preserve"> </w:t>
            </w:r>
            <w:r>
              <w:t xml:space="preserve">“Пополнение записи КСУ”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t xml:space="preserve">rmarcw</w:t>
            </w:r>
          </w:p>
        </w:tc>
        <w:tc>
          <w:tcPr/>
          <w:p>
            <w:pPr>
              <w:pStyle w:val="Compact"/>
            </w:pPr>
            <w:r>
              <w:t xml:space="preserve">Просмотр в RUSMARC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120</w:t>
            </w:r>
          </w:p>
        </w:tc>
        <w:tc>
          <w:tcPr/>
          <w:p>
            <w:pPr>
              <w:pStyle w:val="Compact"/>
            </w:pPr>
            <w:r>
              <w:t xml:space="preserve">spacthw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121</w:t>
            </w:r>
          </w:p>
        </w:tc>
        <w:tc>
          <w:tcPr/>
          <w:p>
            <w:pPr>
              <w:pStyle w:val="Compact"/>
            </w:pPr>
            <w:r>
              <w:t xml:space="preserve">spactw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122</w:t>
            </w:r>
          </w:p>
        </w:tc>
        <w:tc>
          <w:tcPr/>
          <w:p>
            <w:pPr>
              <w:pStyle w:val="Compact"/>
            </w:pPr>
            <w:r>
              <w:t xml:space="preserve">suau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(алфавитный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sugu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(географический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124</w:t>
            </w:r>
          </w:p>
        </w:tc>
        <w:tc>
          <w:tcPr/>
          <w:p>
            <w:pPr>
              <w:pStyle w:val="Compact"/>
            </w:pPr>
            <w:r>
              <w:t xml:space="preserve">suor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(основной систематический ряд)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sumiw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табличных форм TABWPW и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126</w:t>
            </w:r>
          </w:p>
        </w:tc>
        <w:tc>
          <w:tcPr/>
          <w:p>
            <w:pPr>
              <w:pStyle w:val="Compact"/>
            </w:pPr>
            <w:r>
              <w:t xml:space="preserve">sumww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127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129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</w:t>
            </w:r>
          </w:p>
        </w:tc>
        <w:tc>
          <w:tcPr/>
          <w:p>
            <w:pPr>
              <w:pStyle w:val="Compact"/>
            </w:pPr>
            <w: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TABBAW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132</w:t>
            </w:r>
          </w:p>
        </w:tc>
        <w:tc>
          <w:tcPr/>
          <w:p>
            <w:pPr>
              <w:pStyle w:val="Compact"/>
            </w:pPr>
            <w: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TABBNW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134</w:t>
            </w:r>
          </w:p>
        </w:tc>
        <w:tc>
          <w:tcPr/>
          <w:p>
            <w:pPr>
              <w:pStyle w:val="Compact"/>
            </w:pPr>
            <w:r>
              <w:t xml:space="preserve">tabdfhw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tabdfw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tabdkhw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137</w:t>
            </w:r>
          </w:p>
        </w:tc>
        <w:tc>
          <w:tcPr/>
          <w:p>
            <w:pPr>
              <w:pStyle w:val="Compact"/>
            </w:pPr>
            <w:r>
              <w:t xml:space="preserve">tabdkw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138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141</w:t>
            </w:r>
          </w:p>
        </w:tc>
        <w:tc>
          <w:tcPr/>
          <w:p>
            <w:pPr>
              <w:pStyle w:val="Compact"/>
            </w:pPr>
            <w:r>
              <w:t xml:space="preserve">tabinvhw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142</w:t>
            </w:r>
          </w:p>
        </w:tc>
        <w:tc>
          <w:tcPr/>
          <w:p>
            <w:pPr>
              <w:pStyle w:val="Compact"/>
            </w:pPr>
            <w:r>
              <w:t xml:space="preserve">tabinvw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143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144</w:t>
            </w:r>
          </w:p>
        </w:tc>
        <w:tc>
          <w:tcPr/>
          <w:p>
            <w:pPr>
              <w:pStyle w:val="Compact"/>
            </w:pPr>
            <w:r>
              <w:t xml:space="preserve">tabkohw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tabkow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tabkojhw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147</w:t>
            </w:r>
          </w:p>
        </w:tc>
        <w:tc>
          <w:tcPr/>
          <w:p>
            <w:pPr>
              <w:pStyle w:val="Compact"/>
            </w:pPr>
            <w:r>
              <w:t xml:space="preserve">tabkojw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TABKOJW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148</w:t>
            </w:r>
          </w:p>
        </w:tc>
        <w:tc>
          <w:tcPr/>
          <w:p>
            <w:pPr>
              <w:pStyle w:val="Compact"/>
            </w:pPr>
            <w: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149</w:t>
            </w:r>
          </w:p>
        </w:tc>
        <w:tc>
          <w:tcPr/>
          <w:p>
            <w:pPr>
              <w:pStyle w:val="Compact"/>
            </w:pPr>
            <w:r>
              <w:t xml:space="preserve">tabsuo922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формат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150</w:t>
            </w:r>
          </w:p>
        </w:tc>
        <w:tc>
          <w:tcPr/>
          <w:p>
            <w:pPr>
              <w:pStyle w:val="Compact"/>
            </w:pPr>
            <w: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151</w:t>
            </w:r>
          </w:p>
        </w:tc>
        <w:tc>
          <w:tcPr/>
          <w:p>
            <w:pPr>
              <w:pStyle w:val="Compact"/>
            </w:pPr>
            <w:r>
              <w:t xml:space="preserve">tabwbhw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152</w:t>
            </w:r>
          </w:p>
        </w:tc>
        <w:tc>
          <w:tcPr/>
          <w:p>
            <w:pPr>
              <w:pStyle w:val="Compact"/>
            </w:pPr>
            <w:r>
              <w:t xml:space="preserve">tabwbw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153</w:t>
            </w:r>
          </w:p>
        </w:tc>
        <w:tc>
          <w:tcPr/>
          <w:p>
            <w:pPr>
              <w:pStyle w:val="Compact"/>
            </w:pPr>
            <w:r>
              <w:t xml:space="preserve">tabwphw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154</w:t>
            </w:r>
          </w:p>
        </w:tc>
        <w:tc>
          <w:tcPr/>
          <w:p>
            <w:pPr>
              <w:pStyle w:val="Compact"/>
            </w:pPr>
            <w:r>
              <w:t xml:space="preserve">tabwpw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tactihw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156</w:t>
            </w:r>
          </w:p>
        </w:tc>
        <w:tc>
          <w:tcPr/>
          <w:p>
            <w:pPr>
              <w:pStyle w:val="Compact"/>
            </w:pPr>
            <w:r>
              <w:t xml:space="preserve">tactiw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157</w:t>
            </w:r>
          </w:p>
        </w:tc>
        <w:tc>
          <w:tcPr/>
          <w:p>
            <w:pPr>
              <w:pStyle w:val="Compact"/>
            </w:pPr>
            <w: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TNNJW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158</w:t>
            </w:r>
          </w:p>
        </w:tc>
        <w:tc>
          <w:tcPr/>
          <w:p>
            <w:pPr>
              <w:pStyle w:val="Compact"/>
            </w:pPr>
            <w:r>
              <w:t xml:space="preserve">tpinvhw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159</w:t>
            </w:r>
          </w:p>
        </w:tc>
        <w:tc>
          <w:tcPr/>
          <w:p>
            <w:pPr>
              <w:pStyle w:val="Compact"/>
            </w:pPr>
            <w:r>
              <w:t xml:space="preserve">tpinvw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  <w:r>
              <w:t xml:space="preserve">tprfah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161</w:t>
            </w:r>
          </w:p>
        </w:tc>
        <w:tc>
          <w:tcPr/>
          <w:p>
            <w:pPr>
              <w:pStyle w:val="Compact"/>
            </w:pPr>
            <w: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TPRFA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Акт)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162</w:t>
            </w:r>
          </w:p>
        </w:tc>
        <w:tc>
          <w:tcPr/>
          <w:p>
            <w:pPr>
              <w:pStyle w:val="Compact"/>
            </w:pPr>
            <w:r>
              <w:t xml:space="preserve">tprfih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  <w: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TPRFI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список)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164</w:t>
            </w:r>
          </w:p>
        </w:tc>
        <w:tc>
          <w:tcPr/>
          <w:p>
            <w:pPr>
              <w:pStyle w:val="Compact"/>
            </w:pPr>
            <w:r>
              <w:t xml:space="preserve">umarcw</w:t>
            </w:r>
          </w:p>
        </w:tc>
        <w:tc>
          <w:tcPr/>
          <w:p>
            <w:pPr>
              <w:pStyle w:val="Compact"/>
            </w:pPr>
            <w:r>
              <w:t xml:space="preserve">Просмотр в UNIMARC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165</w:t>
            </w:r>
          </w:p>
        </w:tc>
        <w:tc>
          <w:tcPr/>
          <w:p>
            <w:pPr>
              <w:pStyle w:val="Compact"/>
            </w:pPr>
            <w: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Просмотр в USMARC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комплектования (CMPL)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633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ЭД</w:t>
            </w:r>
            <w:r>
              <w:t xml:space="preserve"> </w:t>
            </w:r>
            <w:r>
              <w:t xml:space="preserve">“Код вида периодического издания”</w:t>
            </w:r>
            <w:r>
              <w:t xml:space="preserve"> </w:t>
            </w:r>
            <w:r>
              <w:t xml:space="preserve">(РЛ OJK)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!31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!32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!41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!42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!43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!800</w:t>
            </w:r>
          </w:p>
        </w:tc>
        <w:tc>
          <w:tcPr/>
          <w:p>
            <w:pPr>
              <w:pStyle w:val="Compact"/>
            </w:pPr>
            <w:r>
              <w:t xml:space="preserve">ФЛК поля 800 (Номер акта передачи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!81</w:t>
            </w:r>
          </w:p>
        </w:tc>
        <w:tc>
          <w:tcPr/>
          <w:p>
            <w:pPr>
              <w:pStyle w:val="Compact"/>
            </w:pPr>
            <w:r>
              <w:t xml:space="preserve">ФЛК поля 81</w:t>
            </w:r>
            <w:r>
              <w:t xml:space="preserve"> </w:t>
            </w:r>
            <w:r>
              <w:t xml:space="preserve">“Код организации – краткие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!86</w:t>
            </w:r>
          </w:p>
        </w:tc>
        <w:tc>
          <w:tcPr/>
          <w:p>
            <w:pPr>
              <w:pStyle w:val="Compact"/>
            </w:pPr>
            <w:r>
              <w:t xml:space="preserve">ФЛК поля 86</w:t>
            </w:r>
            <w:r>
              <w:t xml:space="preserve"> </w:t>
            </w:r>
            <w:r>
              <w:t xml:space="preserve">“Подписной индекс”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!88</w:t>
            </w:r>
          </w:p>
        </w:tc>
        <w:tc>
          <w:tcPr/>
          <w:p>
            <w:pPr>
              <w:pStyle w:val="Compact"/>
            </w:pPr>
            <w:r>
              <w:t xml:space="preserve">ФЛК поля 88 (Сведения о поступлении – РЛ KSU)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!888</w:t>
            </w:r>
          </w:p>
        </w:tc>
        <w:tc>
          <w:tcPr/>
          <w:p>
            <w:pPr>
              <w:pStyle w:val="Compact"/>
            </w:pPr>
            <w:r>
              <w:t xml:space="preserve">ФЛК поля 888 (Сведения о выбытии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!89</w:t>
            </w:r>
          </w:p>
        </w:tc>
        <w:tc>
          <w:tcPr/>
          <w:p>
            <w:pPr>
              <w:pStyle w:val="Compact"/>
            </w:pPr>
            <w:r>
              <w:t xml:space="preserve">ФЛК поля 89</w:t>
            </w:r>
            <w:r>
              <w:t xml:space="preserve"> </w:t>
            </w:r>
            <w:r>
              <w:t xml:space="preserve">“Код организации – полные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!972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“Конференция, мероприятие”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!kdk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cmplw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документов всех типов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ks2w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выбытия”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ksuw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поступления”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orgzkw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taba1w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TABA1W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taba2w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TABA2W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tababw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TABABW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tabf1hw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tabf2hw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tabf2w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tabf4hw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tabf4w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tabi1hw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tabi1w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tabi2hw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tabi2w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tabi3hw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tabi3w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tabi4bhw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tabi4bw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tabi4ohw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tabi4ow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tabinhw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tabinw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tabiuhw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tablohw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tablow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tablshw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tablspw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tablzhw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tablzw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tabspw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TABSPW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tabzhw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tabzw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tks2hw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tks2w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tks2phw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tks2pw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tksuhw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tksuw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tksumhw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tksumw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tksuphw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tksupw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tpnzhw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tpnzw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tsu2ihw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tsu2iw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tsu2mw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tsu2m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zak1w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1-го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zak2w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2-го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zak3w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3-го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zkw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читателей (RDR) приведены в таблице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!21</w:t>
            </w:r>
          </w:p>
        </w:tc>
        <w:tc>
          <w:tcPr/>
          <w:p>
            <w:pPr>
              <w:pStyle w:val="Compact"/>
            </w:pPr>
            <w:r>
              <w:t xml:space="preserve">ФЛК поля 21 – Год рождения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!23</w:t>
            </w:r>
          </w:p>
        </w:tc>
        <w:tc>
          <w:tcPr/>
          <w:p>
            <w:pPr>
              <w:pStyle w:val="Compact"/>
            </w:pPr>
            <w:r>
              <w:t xml:space="preserve">ФЛК поля 23 – Пол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 30 – Идентификатор читателя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!f8ret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!rful0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!rfull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!rline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rdr0w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rdr1w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Rdrw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Для БД предлагается такое понятие как ОПТИМИЗИРОВАННЫЙ формат. Оптимизированный формат – это механизм автоматического переключения форматов показа документов в зависимости от их вида. Переключение производится в соответствии с содержанием специального файла, имя которого определяется параметром PFTOPT. Данный файл оптимизации является текстовым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&lt;метка&gt;|&lt;формат&gt;|@&lt;имя_формата&gt;</w:t>
      </w:r>
      <w:r>
        <w:br/>
      </w:r>
      <w:r>
        <w:rPr>
          <w:rStyle w:val="NormalTok"/>
        </w:rPr>
        <w:t xml:space="preserve">&lt;длина&gt;</w:t>
      </w:r>
      <w:r>
        <w:br/>
      </w:r>
      <w:r>
        <w:rPr>
          <w:rStyle w:val="NormalTok"/>
        </w:rPr>
        <w:t xml:space="preserve">&lt;значение_1&gt; &lt;имя формата_1&gt;</w:t>
      </w:r>
      <w:r>
        <w:br/>
      </w:r>
      <w:r>
        <w:rPr>
          <w:rStyle w:val="NormalTok"/>
        </w:rPr>
        <w:t xml:space="preserve">&lt;значение_2&gt; &lt;имя формата_2&gt;</w:t>
      </w:r>
      <w:r>
        <w:br/>
      </w:r>
      <w:r>
        <w:rPr>
          <w:rStyle w:val="NormalTok"/>
        </w:rPr>
        <w:t xml:space="preserve">&lt;значение_3&gt; &lt;имя формата_3&gt;</w:t>
      </w:r>
      <w:r>
        <w:br/>
      </w:r>
      <w:r>
        <w:rPr>
          <w:rStyle w:val="NormalTok"/>
        </w:rPr>
        <w:t xml:space="preserve">...</w:t>
      </w:r>
      <w:r>
        <w:br/>
      </w: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&lt;метка&gt;|&lt;формат&gt;|@&lt;имя_формата&gt; - ключ, который может задаваться тремя способами:</w:t>
      </w:r>
      <w:r>
        <w:t xml:space="preserve"> </w:t>
      </w:r>
      <w:r>
        <w:t xml:space="preserve">* &lt;метка&gt; - метка поля, значение которого определяет вид документа;</w:t>
      </w:r>
      <w:r>
        <w:t xml:space="preserve"> </w:t>
      </w:r>
      <w:r>
        <w:t xml:space="preserve">* &lt;формат&gt; - непосредственный формат, с помощью которого определяется значение для вида документа;</w:t>
      </w:r>
      <w:r>
        <w:t xml:space="preserve"> </w:t>
      </w:r>
      <w:r>
        <w:t xml:space="preserve">* @&lt;имя_формата&gt; - имя формата с предшествующим символом @, с помощью которого определяется значение для вида документа.</w:t>
      </w:r>
      <w:r>
        <w:t xml:space="preserve"> </w:t>
      </w:r>
      <w:r>
        <w:t xml:space="preserve">* &lt;длина&gt; - макс.длина значения для вида документа;</w:t>
      </w:r>
      <w:r>
        <w:t xml:space="preserve"> </w:t>
      </w:r>
      <w:r>
        <w:t xml:space="preserve">* &lt;значение_n&gt; &lt;имя формата_n&gt; - значение (вид документа) и соответствующий ему формат, разделенные символом пробела.</w:t>
      </w:r>
      <w:r>
        <w:t xml:space="preserve"> </w:t>
      </w:r>
      <w:r>
        <w:t xml:space="preserve">При этом в элементе &lt;значение_n&gt; могут содержаться символы маскирования «+» (означающие, что на соответствующем месте может быть любой символ).</w:t>
      </w:r>
    </w:p>
    <w:p>
      <w:pPr>
        <w:pStyle w:val="BodyText"/>
      </w:pPr>
      <w:r>
        <w:t xml:space="preserve">Для БД электронного каталога (IBIS) предлагаются два оптимизационных файла:</w:t>
      </w:r>
      <w:r>
        <w:t xml:space="preserve"> </w:t>
      </w:r>
      <w:r>
        <w:t xml:space="preserve">* PFTW.OPT – включает RTF-форматы;</w:t>
      </w:r>
      <w:r>
        <w:t xml:space="preserve"> </w:t>
      </w:r>
      <w:r>
        <w:t xml:space="preserve">* PFTW_H.OPT – включает HTML-форматы.</w:t>
      </w:r>
    </w:p>
    <w:p>
      <w:pPr>
        <w:pStyle w:val="BodyText"/>
      </w:pPr>
      <w:r>
        <w:t xml:space="preserve">В исходном состоянии системы в качестве оптимизированного определены HTML-форматы (т.е. PFTOPT=PFTW_H.OPT). Для перехода на RTF-форматы (в качестве оптимизированного) необходимо установить PFTOPT=PFTW.OPT.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 назначение форматов системы ИРБИС</dc:title>
  <dc:creator/>
  <cp:keywords/>
  <dcterms:created xsi:type="dcterms:W3CDTF">2026-09-05T10:58:03Z</dcterms:created>
  <dcterms:modified xsi:type="dcterms:W3CDTF">2026-09-05T10:58:03Z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