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Использование команд (тэгов) RTF и HTML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спользование-команд-тэгов-rtf-и-html"/>
    <w:p>
      <w:pPr>
        <w:pStyle w:val="Heading1"/>
      </w:pPr>
      <w:r>
        <w:t xml:space="preserve">Использование команд (тэгов) RTF и HTML</w:t>
      </w:r>
    </w:p>
    <w:p>
      <w:pPr>
        <w:pStyle w:val="FirstParagraph"/>
      </w:pPr>
      <w:r>
        <w:t xml:space="preserve">В форматах допускается использование команд RTF (обеспечивающих представление неплоских текстов, т.е. текстов, содержащих шрифтовые выделения, горизонтальную и вертикальную верстку и т.д.). Форматы, в которых используются команды RTF, называются RTF-форматы.</w:t>
      </w:r>
    </w:p>
    <w:p>
      <w:pPr>
        <w:pStyle w:val="BodyText"/>
      </w:pPr>
      <w:r>
        <w:t xml:space="preserve">Команды RTF вводятся в формат в виде литералов.</w:t>
      </w:r>
    </w:p>
    <w:p>
      <w:pPr>
        <w:pStyle w:val="BodyText"/>
      </w:pPr>
      <w:r>
        <w:t xml:space="preserve">Если предполагается, что формат будет содержать RTF команды, то он должен быть целиком заключен в фигурные скобки:</w:t>
      </w:r>
    </w:p>
    <w:p>
      <w:pPr>
        <w:pStyle w:val="SourceCode"/>
      </w:pPr>
      <w:r>
        <w:rPr>
          <w:rStyle w:val="NormalTok"/>
        </w:rPr>
        <w:t xml:space="preserve">'{'формат '}'</w:t>
      </w:r>
    </w:p>
    <w:p>
      <w:pPr>
        <w:pStyle w:val="FirstParagraph"/>
      </w:pPr>
      <w:r>
        <w:t xml:space="preserve">Все команды RTF начинаются с символа (обратный слэш) \.</w:t>
      </w:r>
    </w:p>
    <w:p>
      <w:pPr>
        <w:pStyle w:val="BodyText"/>
      </w:pPr>
      <w:r>
        <w:t xml:space="preserve">Любая команда RTF должна заканчиваться знаком пробела или непосредственно за ней может следовать другая команда RTF.</w:t>
      </w:r>
    </w:p>
    <w:p>
      <w:pPr>
        <w:pStyle w:val="BodyText"/>
      </w:pPr>
      <w:r>
        <w:t xml:space="preserve">Перечень основных команд RTF приведен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5"/>
        <w:gridCol w:w="730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нового параграфа (абзаца)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первой строки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форматирования нового абзаца; все предыдущие команды форматирования параграфа отменяются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Размер шрифта - NNN (удвоенный размер 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подчеркивания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Начало и конец курсива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жирности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Табуляция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Центральное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Равномерное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Переход на новую страницу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Позиция табуляция - NNN (в пунктах)</w:t>
            </w:r>
          </w:p>
        </w:tc>
      </w:tr>
    </w:tbl>
    <w:p>
      <w:pPr>
        <w:pStyle w:val="BodyText"/>
      </w:pPr>
      <w:r>
        <w:t xml:space="preserve">В форматах, содержащих команды RTF, неприменимы команды вертикальной верстки: / # %.</w:t>
      </w:r>
    </w:p>
    <w:p>
      <w:pPr>
        <w:pStyle w:val="BodyText"/>
      </w:pPr>
      <w:r>
        <w:t xml:space="preserve">В форматах показа могут использоваться HTML-тэги (как альтернатива RTF-тэгам, т.е. совместное использование RTF-команд и HTML-тэгов недопустимо) - со всеми вытекающими возможностями (показ графики, ссылок и т.д.).</w:t>
      </w:r>
    </w:p>
    <w:p>
      <w:pPr>
        <w:pStyle w:val="BodyText"/>
      </w:pPr>
      <w:r>
        <w:t xml:space="preserve">Форматы, в которых используются HTML-тэги, называются HTML-форматы.</w:t>
      </w:r>
    </w:p>
    <w:p>
      <w:pPr>
        <w:pStyle w:val="BodyText"/>
      </w:pPr>
      <w:r>
        <w:t xml:space="preserve">HTML-тэги вводятся в формат в виде литералов.</w:t>
      </w:r>
    </w:p>
    <w:p>
      <w:pPr>
        <w:pStyle w:val="BodyText"/>
      </w:pPr>
      <w:r>
        <w:t xml:space="preserve">Начальный масштаб страницы HTML-формата просмотра в клиентских АРМах задается параметром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INI-файла. См. раздел</w:t>
      </w:r>
      <w:r>
        <w:t xml:space="preserve"> </w:t>
      </w:r>
      <w:hyperlink r:id="rId9">
        <w:r>
          <w:rPr>
            <w:rStyle w:val="Hyperlink"/>
          </w:rPr>
          <w:t xml:space="preserve">Масштаб страницы HTML-формата просмотра</w:t>
        </w:r>
      </w:hyperlink>
      <w:r>
        <w:t xml:space="preserve">.</w:t>
      </w:r>
    </w:p>
    <w:p>
      <w:pPr>
        <w:pStyle w:val="BodyText"/>
      </w:pPr>
      <w:r>
        <w:t xml:space="preserve">Если требуется явно определить формат как HTML-формат, необходимо в самом начале формата указать фиктивный тэг: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форматах, содержащих HTML-тэги, неприменимы команды вертикальной верстки / # %, а также команды Xn и Cn.</w:t>
      </w:r>
      <w:r>
        <w:t xml:space="preserve"> </w:t>
      </w:r>
      <w:r>
        <w:t xml:space="preserve">Предлагаются ДОПОЛНИТЕЛЬНЫЕ возможности при адресации ресурсов ИРБИС в тэгах &lt;A HREF=…&gt; и &lt;IMG SRC=…&gt;: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”IRBIS:N,описание_ссылки”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– число, обозначающее вид ссылки; принимает значения 0, 1, 2, 3.</w:t>
      </w:r>
    </w:p>
    <w:p>
      <w:pPr>
        <w:pStyle w:val="BodyText"/>
      </w:pPr>
      <w:r>
        <w:t xml:space="preserve">Для значений 0,1,2 – структура и смысл ссылок аналогичен ссылкам, формируемым с помощью форматного выхода</w:t>
      </w:r>
      <w:r>
        <w:t xml:space="preserve"> </w:t>
      </w:r>
      <w:hyperlink r:id="rId10">
        <w:r>
          <w:rPr>
            <w:rStyle w:val="Hyperlink"/>
          </w:rPr>
          <w:t xml:space="preserve">&amp;unifor(’+I…)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Важное замечание: форматный выход &amp;unifor(’+I..) ПРИМЕНИМ ТОЛЬКО В RTF-форматах (т.е. в форматах с HTML-тэгами он не применим).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Значение 3 определяет ссылку на внешний объект через относительную адресацию в рамках системы ИРБИС: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”IRBIS:3,path,dbname,filename”…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path – определяет относительный путь к внешнему объекту в рамках ИРБИС и принимает значения: 0 – основная директория системы (для ИРБИС32 – та, где находятся исполняемые модули; для ИРБИС64 – та, где находятся исполняемые модули сервера); 1 – общая директория баз данных (по умолчанию</w:t>
      </w:r>
      <w:r>
        <w:t xml:space="preserve"> </w:t>
      </w:r>
      <w:r>
        <w:t xml:space="preserve">); 10 – директория конкретной БД;</w:t>
      </w:r>
      <w:r>
        <w:t xml:space="preserve"> </w:t>
      </w:r>
      <w:r>
        <w:t xml:space="preserve">* dbname – имя БД (имеет смысл только при path=10). По умолчанию – предполагается текущая БД;</w:t>
      </w:r>
      <w:r>
        <w:t xml:space="preserve"> </w:t>
      </w:r>
      <w:r>
        <w:t xml:space="preserve">* filename – имя файла внешнего объекта.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”IRBIS:path,dbname,filename”….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 path, dbname, filename имеют тот же смысл, что указано выше, и определяют ссылку на графический ресурс (картинку) в рамках ИРБИС.</w:t>
      </w:r>
    </w:p>
    <w:p>
      <w:pPr>
        <w:pStyle w:val="BodyText"/>
      </w:pPr>
      <w:r>
        <w:t xml:space="preserve">Реализуется специальная возможность для отображения штрих-кодов в HTML-форматах, а именно: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”IRBIS:!!ШТРИХ_КОД!!”….</w:t>
      </w:r>
      <w:r>
        <w:rPr>
          <w:rStyle w:val="DataTypeTok"/>
        </w:rPr>
        <w:t xml:space="preserve">&gt;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команд (тэгов) RTF и HTML</dc:title>
  <dc:creator/>
  <cp:keywords/>
  <dcterms:created xsi:type="dcterms:W3CDTF">2026-09-05T04:06:54Z</dcterms:created>
  <dcterms:modified xsi:type="dcterms:W3CDTF">2026-09-05T04:06:54Z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