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&amp;uf(’C… - Контроль ISSN/ISBN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c---контроль-issnisbn"/>
    <w:p>
      <w:pPr>
        <w:pStyle w:val="Heading1"/>
      </w:pPr>
      <w:r>
        <w:t xml:space="preserve">&amp;uf(’C… - Контроль ISSN/ISBN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Контроль ISSN/ISBN</w:t>
      </w:r>
    </w:p>
    <w:p>
      <w:pPr>
        <w:pStyle w:val="BodyText"/>
      </w:pPr>
      <w:r>
        <w:t xml:space="preserve">При положительном результате - 0</w:t>
      </w:r>
    </w:p>
    <w:p>
      <w:pPr>
        <w:pStyle w:val="BodyText"/>
      </w:pPr>
      <w:r>
        <w:t xml:space="preserve">При отрицательном - 1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С&lt;ISSN/ISBN&gt;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&amp;unifor("C"v10^a)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&amp;uf(’C… - Контроль ISSN/ISBN</dc:title>
  <dc:creator/>
  <cp:keywords/>
  <dcterms:created xsi:type="dcterms:W3CDTF">2026-09-07T06:08:56Z</dcterms:created>
  <dcterms:modified xsi:type="dcterms:W3CDTF">2026-09-07T06:08:56Z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