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Комплект документов для ГосТех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35" w:name="комплект-документов-для-гостех"/>
    <w:p>
      <w:pPr>
        <w:pStyle w:val="Heading1"/>
      </w:pPr>
      <w:r>
        <w:t xml:space="preserve">Комплект документов для ГосТех</w:t>
      </w:r>
    </w:p>
    <w:p>
      <w:pPr>
        <w:pStyle w:val="FirstParagraph"/>
      </w:pPr>
      <w:r>
        <w:t xml:space="preserve">Раздел помогает собрать сведения по ИРБИС 128 для подачи цифрового продукта или сервиса в контур ЕЦП «ГосТех». Он не заменяет утвержденные формы заявления, декларации и ПМИ: эти файлы оформляются по актуальным шаблонам площадки, а сведения ниже используются как содержательная часть комплекта документов по продукту.</w:t>
      </w:r>
    </w:p>
    <w:bookmarkStart w:id="9" w:name="варианты-подачи"/>
    <w:p>
      <w:pPr>
        <w:pStyle w:val="Heading2"/>
      </w:pPr>
      <w:r>
        <w:t xml:space="preserve">1. Варианты подачи</w:t>
      </w:r>
    </w:p>
    <w:p>
      <w:pPr>
        <w:pStyle w:val="FirstParagraph"/>
      </w:pPr>
      <w:r>
        <w:t xml:space="preserve">Перед подготовкой комплекта нужно определить вариант размещения сервиса:</w:t>
      </w:r>
    </w:p>
    <w:p>
      <w:pPr>
        <w:pStyle w:val="Compact"/>
        <w:numPr>
          <w:ilvl w:val="0"/>
          <w:numId w:val="1001"/>
        </w:numPr>
      </w:pPr>
      <w:r>
        <w:t xml:space="preserve">поставка в виде дистрибутива - в комплект включаются дистрибутив, документация, скрипты развертывания, сведения о лицензировании, ресурсах, зависимостях, поддержке и контрольных суммах;</w:t>
      </w:r>
    </w:p>
    <w:p>
      <w:pPr>
        <w:pStyle w:val="Compact"/>
        <w:numPr>
          <w:ilvl w:val="0"/>
          <w:numId w:val="1001"/>
        </w:numPr>
      </w:pPr>
      <w:r>
        <w:t xml:space="preserve">публикуемый SaaS - документация ограничивается описанием сервиса, перечнем основных функций и руководством пользователя, но дополнительно проверяются требования к размещению, идентификации пользователей и условиям предварительного ознакомления с сервисом.</w:t>
      </w:r>
    </w:p>
    <w:p>
      <w:pPr>
        <w:pStyle w:val="FirstParagraph"/>
      </w:pPr>
      <w:r>
        <w:t xml:space="preserve">Выбранный вариант влияет на состав архива, необходимость</w:t>
      </w:r>
      <w:r>
        <w:t xml:space="preserve"> </w:t>
      </w:r>
      <w:r>
        <w:rPr>
          <w:rStyle w:val="VerbatimChar"/>
        </w:rPr>
        <w:t xml:space="preserve">manifest.yaml</w:t>
      </w:r>
      <w:r>
        <w:t xml:space="preserve">, Ansible playbook, контрольных сумм дистрибутива и эксплуатационных регламентов.</w:t>
      </w:r>
    </w:p>
    <w:bookmarkEnd w:id="9"/>
    <w:bookmarkStart w:id="12" w:name="состав-комплекта"/>
    <w:p>
      <w:pPr>
        <w:pStyle w:val="Heading2"/>
      </w:pPr>
      <w:r>
        <w:t xml:space="preserve">2. Состав комплекта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Материал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  <w:tc>
          <w:tcPr/>
          <w:p>
            <w:pPr>
              <w:pStyle w:val="Compact"/>
            </w:pPr>
            <w:r>
              <w:t xml:space="preserve">Что подготовить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Заявление и декларация поставщика</w:t>
            </w:r>
          </w:p>
        </w:tc>
        <w:tc>
          <w:tcPr/>
          <w:p>
            <w:pPr>
              <w:pStyle w:val="Compact"/>
            </w:pPr>
            <w:r>
              <w:t xml:space="preserve">Формальная подача продукта и поставщика</w:t>
            </w:r>
          </w:p>
        </w:tc>
        <w:tc>
          <w:tcPr/>
          <w:p>
            <w:pPr>
              <w:pStyle w:val="Compact"/>
            </w:pPr>
            <w:r>
              <w:t xml:space="preserve">Файлы по утвержденным шаблонам, подписанные усиленной квалифицированной электронной подписью уполномоченного лица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Архив документов и материалов</w:t>
            </w:r>
          </w:p>
        </w:tc>
        <w:tc>
          <w:tcPr/>
          <w:p>
            <w:pPr>
              <w:pStyle w:val="Compact"/>
            </w:pPr>
            <w:r>
              <w:t xml:space="preserve">Передача документации без внешних ссылок на облачные ресурсы</w:t>
            </w:r>
          </w:p>
        </w:tc>
        <w:tc>
          <w:tcPr/>
          <w:p>
            <w:pPr>
              <w:pStyle w:val="Compact"/>
            </w:pPr>
            <w:r>
              <w:t xml:space="preserve">ZIP, RAR или 7Z с пользовательской, проектной, эксплуатационной и технической документацией</w:t>
            </w:r>
          </w:p>
        </w:tc>
      </w:tr>
      <w:tr>
        <w:tc>
          <w:tcPr/>
          <w:p>
            <w:pPr>
              <w:pStyle w:val="Compact"/>
            </w:pPr>
            <w:r>
              <w:t xml:space="preserve">Описание сервиса</w:t>
            </w:r>
          </w:p>
        </w:tc>
        <w:tc>
          <w:tcPr/>
          <w:p>
            <w:pPr>
              <w:pStyle w:val="Compact"/>
            </w:pPr>
            <w:r>
              <w:t xml:space="preserve">Краткое назначение, функции и границы продукта</w:t>
            </w:r>
          </w:p>
        </w:tc>
        <w:tc>
          <w:tcPr/>
          <w:p>
            <w:pPr>
              <w:pStyle w:val="Compact"/>
            </w:pPr>
            <w:r>
              <w:t xml:space="preserve">Сведения из разделов</w:t>
            </w:r>
            <w:r>
              <w:t xml:space="preserve"> </w:t>
            </w:r>
            <w:hyperlink r:id="rId10">
              <w:r>
                <w:rPr>
                  <w:rStyle w:val="Hyperlink"/>
                </w:rPr>
                <w:t xml:space="preserve">Общее описание</w:t>
              </w:r>
            </w:hyperlink>
            <w:r>
              <w:t xml:space="preserve"> </w:t>
            </w:r>
            <w:r>
              <w:t xml:space="preserve">и</w:t>
            </w:r>
            <w:r>
              <w:t xml:space="preserve"> </w:t>
            </w:r>
            <w:hyperlink r:id="rId11">
              <w:r>
                <w:rPr>
                  <w:rStyle w:val="Hyperlink"/>
                </w:rPr>
                <w:t xml:space="preserve">Основные возможности</w:t>
              </w:r>
            </w:hyperlink>
          </w:p>
        </w:tc>
      </w:tr>
      <w:tr>
        <w:tc>
          <w:tcPr/>
          <w:p>
            <w:pPr>
              <w:pStyle w:val="Compact"/>
            </w:pPr>
            <w:r>
              <w:t xml:space="preserve">Руководство пользователя</w:t>
            </w:r>
          </w:p>
        </w:tc>
        <w:tc>
          <w:tcPr/>
          <w:p>
            <w:pPr>
              <w:pStyle w:val="Compact"/>
            </w:pPr>
            <w:r>
              <w:t xml:space="preserve">Проверка пользовательских сценариев</w:t>
            </w:r>
          </w:p>
        </w:tc>
        <w:tc>
          <w:tcPr/>
          <w:p>
            <w:pPr>
              <w:pStyle w:val="Compact"/>
            </w:pPr>
            <w:r>
              <w:t xml:space="preserve">Help-разделы по АРМ и модулям, которые входят в заявляемую поставку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Программа и методика приемочных испытаний</w:t>
            </w:r>
          </w:p>
        </w:tc>
        <w:tc>
          <w:tcPr/>
          <w:p>
            <w:pPr>
              <w:pStyle w:val="Compact"/>
            </w:pPr>
            <w:r>
              <w:t xml:space="preserve">Приемка заявленной функциональности</w:t>
            </w:r>
          </w:p>
        </w:tc>
        <w:tc>
          <w:tcPr/>
          <w:p>
            <w:pPr>
              <w:pStyle w:val="Compact"/>
            </w:pPr>
            <w:r>
              <w:t xml:space="preserve">Набор функциональных тестов, минимальный комплект тестовых данных и критерии успешности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manifest.yaml</w:t>
            </w:r>
          </w:p>
        </w:tc>
        <w:tc>
          <w:tcPr/>
          <w:p>
            <w:pPr>
              <w:pStyle w:val="Compact"/>
            </w:pPr>
            <w:r>
              <w:t xml:space="preserve">Машиночитаемая карточка сервиса</w:t>
            </w:r>
          </w:p>
        </w:tc>
        <w:tc>
          <w:tcPr/>
          <w:p>
            <w:pPr>
              <w:pStyle w:val="Compact"/>
            </w:pPr>
            <w:r>
              <w:t xml:space="preserve">Идентификатор, название, версия, описание, лицензия, категории, ресурсы, параметры поддержки, зависимости и конфигурация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Скрипты развертывания</w:t>
            </w:r>
          </w:p>
        </w:tc>
        <w:tc>
          <w:tcPr/>
          <w:p>
            <w:pPr>
              <w:pStyle w:val="Compact"/>
            </w:pPr>
            <w:r>
              <w:t xml:space="preserve">Автоматизированная установка и настройка</w:t>
            </w:r>
          </w:p>
        </w:tc>
        <w:tc>
          <w:tcPr/>
          <w:p>
            <w:pPr>
              <w:pStyle w:val="Compact"/>
            </w:pPr>
            <w:r>
              <w:t xml:space="preserve">Параметризованные скрипты развертывания, совместимые с выбранным вариантом поставки; для дистрибутива обычно требуется Ansible playbook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Контрольные суммы</w:t>
            </w:r>
          </w:p>
        </w:tc>
        <w:tc>
          <w:tcPr/>
          <w:p>
            <w:pPr>
              <w:pStyle w:val="Compact"/>
            </w:pPr>
            <w:r>
              <w:t xml:space="preserve">Подтверждение неизменности дистрибутива</w:t>
            </w:r>
          </w:p>
        </w:tc>
        <w:tc>
          <w:tcPr/>
          <w:p>
            <w:pPr>
              <w:pStyle w:val="Compact"/>
            </w:pPr>
            <w:r>
              <w:t xml:space="preserve">Контрольные суммы передаваемых файлов по ГОСТ Р 34.11-2012, если требование применимо к выбранному варианту поставки</w:t>
            </w:r>
          </w:p>
        </w:tc>
      </w:tr>
    </w:tbl>
    <w:bookmarkEnd w:id="12"/>
    <w:bookmarkStart w:id="17" w:name="сведения-о-сервисе"/>
    <w:p>
      <w:pPr>
        <w:pStyle w:val="Heading2"/>
      </w:pPr>
      <w:r>
        <w:t xml:space="preserve">3. Сведения о сервисе</w:t>
      </w:r>
    </w:p>
    <w:p>
      <w:pPr>
        <w:pStyle w:val="FirstParagraph"/>
      </w:pPr>
      <w:r>
        <w:t xml:space="preserve">Описание сервиса должно фиксировать:</w:t>
      </w:r>
    </w:p>
    <w:p>
      <w:pPr>
        <w:pStyle w:val="Compact"/>
        <w:numPr>
          <w:ilvl w:val="0"/>
          <w:numId w:val="1002"/>
        </w:numPr>
      </w:pPr>
      <w:r>
        <w:t xml:space="preserve">наименование продукта - ИРБИС 128;</w:t>
      </w:r>
    </w:p>
    <w:p>
      <w:pPr>
        <w:pStyle w:val="Compact"/>
        <w:numPr>
          <w:ilvl w:val="0"/>
          <w:numId w:val="1002"/>
        </w:numPr>
      </w:pPr>
      <w:r>
        <w:t xml:space="preserve">назначение - автоматизация библиотечных процессов, включая поиск, каталогизацию, книговыдачу, личный кабинет, управление электронными ресурсами, администрирование и интеграционные сценарии;</w:t>
      </w:r>
    </w:p>
    <w:p>
      <w:pPr>
        <w:pStyle w:val="Compact"/>
        <w:numPr>
          <w:ilvl w:val="0"/>
          <w:numId w:val="1002"/>
        </w:numPr>
      </w:pPr>
      <w:r>
        <w:t xml:space="preserve">перечень основных функций - см.</w:t>
      </w:r>
      <w:r>
        <w:t xml:space="preserve"> </w:t>
      </w:r>
      <w:hyperlink r:id="rId11">
        <w:r>
          <w:rPr>
            <w:rStyle w:val="Hyperlink"/>
          </w:rPr>
          <w:t xml:space="preserve">Основные возможности</w:t>
        </w:r>
      </w:hyperlink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состав компонентов - см.</w:t>
      </w:r>
      <w:r>
        <w:t xml:space="preserve"> </w:t>
      </w:r>
      <w:hyperlink r:id="rId13">
        <w:r>
          <w:rPr>
            <w:rStyle w:val="Hyperlink"/>
          </w:rPr>
          <w:t xml:space="preserve">Состав Системы</w:t>
        </w:r>
      </w:hyperlink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архитектурную схему - см.</w:t>
      </w:r>
      <w:r>
        <w:t xml:space="preserve"> </w:t>
      </w:r>
      <w:hyperlink r:id="rId14">
        <w:r>
          <w:rPr>
            <w:rStyle w:val="Hyperlink"/>
          </w:rPr>
          <w:t xml:space="preserve">Архитектура</w:t>
        </w:r>
      </w:hyperlink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информационные ресурсы - см.</w:t>
      </w:r>
      <w:r>
        <w:t xml:space="preserve"> </w:t>
      </w:r>
      <w:hyperlink r:id="rId15">
        <w:r>
          <w:rPr>
            <w:rStyle w:val="Hyperlink"/>
          </w:rPr>
          <w:t xml:space="preserve">Информационное обеспечение</w:t>
        </w:r>
      </w:hyperlink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пользовательскую документацию по модулям - см.</w:t>
      </w:r>
      <w:r>
        <w:t xml:space="preserve"> </w:t>
      </w:r>
      <w:hyperlink r:id="rId16">
        <w:r>
          <w:rPr>
            <w:rStyle w:val="Hyperlink"/>
          </w:rPr>
          <w:t xml:space="preserve">Модули ИРБИС 128</w:t>
        </w:r>
      </w:hyperlink>
      <w:r>
        <w:t xml:space="preserve">.</w:t>
      </w:r>
    </w:p>
    <w:p>
      <w:pPr>
        <w:pStyle w:val="FirstParagraph"/>
      </w:pPr>
      <w:r>
        <w:t xml:space="preserve">Если в подачу включается только часть модулей, в описании сервиса нужно перечислить именно заявляемый функциональный контур и исключить сценарии, которые не входят в поставку.</w:t>
      </w:r>
    </w:p>
    <w:bookmarkEnd w:id="17"/>
    <w:bookmarkStart w:id="20" w:name="интерфейсы-и-api"/>
    <w:p>
      <w:pPr>
        <w:pStyle w:val="Heading2"/>
      </w:pPr>
      <w:r>
        <w:t xml:space="preserve">4. Интерфейсы и API</w:t>
      </w:r>
    </w:p>
    <w:p>
      <w:pPr>
        <w:pStyle w:val="FirstParagraph"/>
      </w:pPr>
      <w:r>
        <w:t xml:space="preserve">В комплекте указываются интерфейсы, которые фактически включены в поставку:</w:t>
      </w:r>
    </w:p>
    <w:p>
      <w:pPr>
        <w:pStyle w:val="Compact"/>
        <w:numPr>
          <w:ilvl w:val="0"/>
          <w:numId w:val="1003"/>
        </w:numPr>
      </w:pPr>
      <w:r>
        <w:t xml:space="preserve">Web-интерфейсы АРМ и пользовательских разделов;</w:t>
      </w:r>
    </w:p>
    <w:p>
      <w:pPr>
        <w:pStyle w:val="Compact"/>
        <w:numPr>
          <w:ilvl w:val="0"/>
          <w:numId w:val="1003"/>
        </w:numPr>
      </w:pPr>
      <w:r>
        <w:t xml:space="preserve">JSON-RPC 2.0 API - см.</w:t>
      </w:r>
      <w:r>
        <w:t xml:space="preserve"> </w:t>
      </w:r>
      <w:hyperlink r:id="rId18">
        <w:r>
          <w:rPr>
            <w:rStyle w:val="Hyperlink"/>
          </w:rPr>
          <w:t xml:space="preserve">Функционал сервисов для интеграции приложений в виде JSON-RPC 2.0 API</w:t>
        </w:r>
      </w:hyperlink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HTTP-провайдер ИРБИС 128 - см.</w:t>
      </w:r>
      <w:r>
        <w:t xml:space="preserve"> </w:t>
      </w:r>
      <w:hyperlink r:id="rId19">
        <w:r>
          <w:rPr>
            <w:rStyle w:val="Hyperlink"/>
          </w:rPr>
          <w:t xml:space="preserve">DP_i128</w:t>
        </w:r>
      </w:hyperlink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интеграционные модули, если они используются в конкретном внедрении.</w:t>
      </w:r>
    </w:p>
    <w:p>
      <w:pPr>
        <w:pStyle w:val="FirstParagraph"/>
      </w:pPr>
      <w:r>
        <w:t xml:space="preserve">Для каждого внешнего API нужно указать назначение, точку вызова, способ аутентификации, основные методы, формат запросов и ответов, коды ошибок и ограничения доступа.</w:t>
      </w:r>
    </w:p>
    <w:bookmarkEnd w:id="20"/>
    <w:bookmarkStart w:id="21" w:name="доступность-и-условия-эксплуатации"/>
    <w:p>
      <w:pPr>
        <w:pStyle w:val="Heading2"/>
      </w:pPr>
      <w:r>
        <w:t xml:space="preserve">5. Доступность и условия эксплуатации</w:t>
      </w:r>
    </w:p>
    <w:p>
      <w:pPr>
        <w:pStyle w:val="FirstParagraph"/>
      </w:pPr>
      <w:r>
        <w:t xml:space="preserve">Доступность сервиса рассчитывается по формуле:</w:t>
      </w:r>
    </w:p>
    <w:p>
      <w:pPr>
        <w:pStyle w:val="SourceCode"/>
      </w:pPr>
      <w:r>
        <w:rPr>
          <w:rStyle w:val="VerbatimChar"/>
        </w:rPr>
        <w:t xml:space="preserve">((СВД - ВН) / СВД) * 100</w:t>
      </w:r>
    </w:p>
    <w:p>
      <w:pPr>
        <w:pStyle w:val="FirstParagraph"/>
      </w:pPr>
      <w:r>
        <w:t xml:space="preserve">где</w:t>
      </w:r>
      <w:r>
        <w:t xml:space="preserve"> </w:t>
      </w:r>
      <w:r>
        <w:rPr>
          <w:rStyle w:val="VerbatimChar"/>
        </w:rPr>
        <w:t xml:space="preserve">СВД</w:t>
      </w:r>
      <w:r>
        <w:t xml:space="preserve"> </w:t>
      </w:r>
      <w:r>
        <w:t xml:space="preserve">- согласованное время доступности сервиса,</w:t>
      </w:r>
      <w:r>
        <w:t xml:space="preserve"> </w:t>
      </w:r>
      <w:r>
        <w:rPr>
          <w:rStyle w:val="VerbatimChar"/>
        </w:rPr>
        <w:t xml:space="preserve">ВН</w:t>
      </w:r>
      <w:r>
        <w:t xml:space="preserve"> </w:t>
      </w:r>
      <w:r>
        <w:t xml:space="preserve">- время недоступности по зарегистрированным обращениям оператора информационной системы.</w:t>
      </w:r>
    </w:p>
    <w:p>
      <w:pPr>
        <w:pStyle w:val="BodyText"/>
      </w:pPr>
      <w:r>
        <w:t xml:space="preserve">В документации для подачи нужно указать:</w:t>
      </w:r>
    </w:p>
    <w:p>
      <w:pPr>
        <w:pStyle w:val="Compact"/>
        <w:numPr>
          <w:ilvl w:val="0"/>
          <w:numId w:val="1004"/>
        </w:numPr>
      </w:pPr>
      <w:r>
        <w:t xml:space="preserve">целевую доступность сервиса: не ниже 97%, а для информационных систем класса К1 - не ниже 99,9%;</w:t>
      </w:r>
    </w:p>
    <w:p>
      <w:pPr>
        <w:pStyle w:val="Compact"/>
        <w:numPr>
          <w:ilvl w:val="0"/>
          <w:numId w:val="1004"/>
        </w:numPr>
      </w:pPr>
      <w:r>
        <w:t xml:space="preserve">условия достижения заявленной доступности: резервирование инфраструктуры, работоспособный TCP/IP сервер ИРБИС 64, доступность веб-сервера, PHP, хранилища БД, сетевых каналов и внешних интеграций;</w:t>
      </w:r>
    </w:p>
    <w:p>
      <w:pPr>
        <w:pStyle w:val="Compact"/>
        <w:numPr>
          <w:ilvl w:val="0"/>
          <w:numId w:val="1004"/>
        </w:numPr>
      </w:pPr>
      <w:r>
        <w:t xml:space="preserve">среднее время восстановления и порядок эскалации инцидентов;</w:t>
      </w:r>
    </w:p>
    <w:p>
      <w:pPr>
        <w:pStyle w:val="Compact"/>
        <w:numPr>
          <w:ilvl w:val="0"/>
          <w:numId w:val="1004"/>
        </w:numPr>
      </w:pPr>
      <w:r>
        <w:t xml:space="preserve">регламент профилактических работ;</w:t>
      </w:r>
    </w:p>
    <w:p>
      <w:pPr>
        <w:pStyle w:val="Compact"/>
        <w:numPr>
          <w:ilvl w:val="0"/>
          <w:numId w:val="1004"/>
        </w:numPr>
      </w:pPr>
      <w:r>
        <w:t xml:space="preserve">регламент резервного копирования и восстановления.</w:t>
      </w:r>
    </w:p>
    <w:p>
      <w:pPr>
        <w:pStyle w:val="FirstParagraph"/>
      </w:pPr>
      <w:r>
        <w:t xml:space="preserve">Значения SLA, RTO, RPO, время регламентных работ и зоны ответственности не являются универсальными параметрами продукта: их нужно заполнять по конкретному варианту размещения и договору сопровождения.</w:t>
      </w:r>
    </w:p>
    <w:bookmarkEnd w:id="21"/>
    <w:bookmarkStart w:id="23" w:name="системные-требования-и-ресурсы"/>
    <w:p>
      <w:pPr>
        <w:pStyle w:val="Heading2"/>
      </w:pPr>
      <w:r>
        <w:t xml:space="preserve">6. Системные требования и ресурсы</w:t>
      </w:r>
    </w:p>
    <w:p>
      <w:pPr>
        <w:pStyle w:val="FirstParagraph"/>
      </w:pPr>
      <w:r>
        <w:t xml:space="preserve">Базовые требования к программному обеспечению и оборудованию приведены в разделе</w:t>
      </w:r>
      <w:r>
        <w:t xml:space="preserve"> </w:t>
      </w:r>
      <w:hyperlink r:id="rId22">
        <w:r>
          <w:rPr>
            <w:rStyle w:val="Hyperlink"/>
          </w:rPr>
          <w:t xml:space="preserve">Системные требования</w:t>
        </w:r>
      </w:hyperlink>
      <w:r>
        <w:t xml:space="preserve">. При заполнении спецификации ресурсных потребностей в комплекте ГосТех нужно дополнить их расчетом под целевые показатели нагрузки:</w:t>
      </w:r>
    </w:p>
    <w:p>
      <w:pPr>
        <w:pStyle w:val="Compact"/>
        <w:numPr>
          <w:ilvl w:val="0"/>
          <w:numId w:val="1005"/>
        </w:numPr>
      </w:pPr>
      <w:r>
        <w:t xml:space="preserve">количество пользователей;</w:t>
      </w:r>
    </w:p>
    <w:p>
      <w:pPr>
        <w:pStyle w:val="Compact"/>
        <w:numPr>
          <w:ilvl w:val="0"/>
          <w:numId w:val="1005"/>
        </w:numPr>
      </w:pPr>
      <w:r>
        <w:t xml:space="preserve">количество запросов в секунду;</w:t>
      </w:r>
    </w:p>
    <w:p>
      <w:pPr>
        <w:pStyle w:val="Compact"/>
        <w:numPr>
          <w:ilvl w:val="0"/>
          <w:numId w:val="1005"/>
        </w:numPr>
      </w:pPr>
      <w:r>
        <w:t xml:space="preserve">количество одновременных операций изменения данных;</w:t>
      </w:r>
    </w:p>
    <w:p>
      <w:pPr>
        <w:pStyle w:val="Compact"/>
        <w:numPr>
          <w:ilvl w:val="0"/>
          <w:numId w:val="1005"/>
        </w:numPr>
      </w:pPr>
      <w:r>
        <w:t xml:space="preserve">объем входящих и исходящих данных;</w:t>
      </w:r>
    </w:p>
    <w:p>
      <w:pPr>
        <w:pStyle w:val="Compact"/>
        <w:numPr>
          <w:ilvl w:val="0"/>
          <w:numId w:val="1005"/>
        </w:numPr>
      </w:pPr>
      <w:r>
        <w:t xml:space="preserve">объем библиографических БД, полнотекстового хранилища и файловых вложений;</w:t>
      </w:r>
    </w:p>
    <w:p>
      <w:pPr>
        <w:pStyle w:val="Compact"/>
        <w:numPr>
          <w:ilvl w:val="0"/>
          <w:numId w:val="1005"/>
        </w:numPr>
      </w:pPr>
      <w:r>
        <w:t xml:space="preserve">требуемая скорость дисковой подсистемы для БД и полнотекстовых данных.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manifest.yaml</w:t>
      </w:r>
      <w:r>
        <w:t xml:space="preserve"> </w:t>
      </w:r>
      <w:r>
        <w:t xml:space="preserve">эти сведения указываются в разделе</w:t>
      </w:r>
      <w:r>
        <w:t xml:space="preserve"> </w:t>
      </w:r>
      <w:r>
        <w:rPr>
          <w:rStyle w:val="VerbatimChar"/>
        </w:rPr>
        <w:t xml:space="preserve">resources</w:t>
      </w:r>
      <w:r>
        <w:t xml:space="preserve">: либо как фиксированные узлы</w:t>
      </w:r>
      <w:r>
        <w:t xml:space="preserve"> </w:t>
      </w:r>
      <w:r>
        <w:rPr>
          <w:rStyle w:val="VerbatimChar"/>
        </w:rPr>
        <w:t xml:space="preserve">nodes</w:t>
      </w:r>
      <w:r>
        <w:t xml:space="preserve">, либо как зависимость ресурсов от бизнес-метрик</w:t>
      </w:r>
      <w:r>
        <w:t xml:space="preserve"> </w:t>
      </w:r>
      <w:r>
        <w:rPr>
          <w:rStyle w:val="VerbatimChar"/>
        </w:rPr>
        <w:t xml:space="preserve">business-metrics</w:t>
      </w:r>
      <w:r>
        <w:t xml:space="preserve">.</w:t>
      </w:r>
    </w:p>
    <w:bookmarkEnd w:id="23"/>
    <w:bookmarkStart w:id="27" w:name="установка-настройка-и-конфигурация"/>
    <w:p>
      <w:pPr>
        <w:pStyle w:val="Heading2"/>
      </w:pPr>
      <w:r>
        <w:t xml:space="preserve">7. Установка, настройка и конфигурация</w:t>
      </w:r>
    </w:p>
    <w:p>
      <w:pPr>
        <w:pStyle w:val="FirstParagraph"/>
      </w:pPr>
      <w:r>
        <w:t xml:space="preserve">В комплекте должны быть описаны:</w:t>
      </w:r>
    </w:p>
    <w:p>
      <w:pPr>
        <w:pStyle w:val="Compact"/>
        <w:numPr>
          <w:ilvl w:val="0"/>
          <w:numId w:val="1006"/>
        </w:numPr>
      </w:pPr>
      <w:r>
        <w:t xml:space="preserve">порядок установки - см.</w:t>
      </w:r>
      <w:r>
        <w:t xml:space="preserve"> </w:t>
      </w:r>
      <w:hyperlink r:id="rId24">
        <w:r>
          <w:rPr>
            <w:rStyle w:val="Hyperlink"/>
          </w:rPr>
          <w:t xml:space="preserve">Установка и запуск</w:t>
        </w:r>
      </w:hyperlink>
      <w:r>
        <w:t xml:space="preserve">;</w:t>
      </w:r>
    </w:p>
    <w:p>
      <w:pPr>
        <w:pStyle w:val="Compact"/>
        <w:numPr>
          <w:ilvl w:val="0"/>
          <w:numId w:val="1006"/>
        </w:numPr>
      </w:pPr>
      <w:r>
        <w:t xml:space="preserve">настройка TCP/IP сервера ИРБИС 64 - см.</w:t>
      </w:r>
      <w:r>
        <w:t xml:space="preserve"> </w:t>
      </w:r>
      <w:hyperlink r:id="rId25">
        <w:r>
          <w:rPr>
            <w:rStyle w:val="Hyperlink"/>
          </w:rPr>
          <w:t xml:space="preserve">Дополнительные настройки TCP/IP сервера ИРБИС 64</w:t>
        </w:r>
      </w:hyperlink>
      <w:r>
        <w:t xml:space="preserve">;</w:t>
      </w:r>
    </w:p>
    <w:p>
      <w:pPr>
        <w:pStyle w:val="Compact"/>
        <w:numPr>
          <w:ilvl w:val="0"/>
          <w:numId w:val="1006"/>
        </w:numPr>
      </w:pPr>
      <w:r>
        <w:t xml:space="preserve">настройка конфигурационного файла - см.</w:t>
      </w:r>
      <w:r>
        <w:t xml:space="preserve"> </w:t>
      </w:r>
      <w:hyperlink r:id="rId26">
        <w:r>
          <w:rPr>
            <w:rStyle w:val="Hyperlink"/>
          </w:rPr>
          <w:t xml:space="preserve">Настройка конфигурационного файла</w:t>
        </w:r>
      </w:hyperlink>
      <w:r>
        <w:t xml:space="preserve">;</w:t>
      </w:r>
    </w:p>
    <w:p>
      <w:pPr>
        <w:pStyle w:val="Compact"/>
        <w:numPr>
          <w:ilvl w:val="0"/>
          <w:numId w:val="1006"/>
        </w:numPr>
      </w:pPr>
      <w:r>
        <w:t xml:space="preserve">настройка хостов, шаблонов и параметров системы;</w:t>
      </w:r>
    </w:p>
    <w:p>
      <w:pPr>
        <w:pStyle w:val="Compact"/>
        <w:numPr>
          <w:ilvl w:val="0"/>
          <w:numId w:val="1006"/>
        </w:numPr>
      </w:pPr>
      <w:r>
        <w:t xml:space="preserve">параметры, которые выносятся в</w:t>
      </w:r>
      <w:r>
        <w:t xml:space="preserve"> </w:t>
      </w:r>
      <w:r>
        <w:rPr>
          <w:rStyle w:val="VerbatimChar"/>
        </w:rPr>
        <w:t xml:space="preserve">manifest.yaml</w:t>
      </w:r>
      <w:r>
        <w:t xml:space="preserve"> </w:t>
      </w:r>
      <w:r>
        <w:t xml:space="preserve">в раздел</w:t>
      </w:r>
      <w:r>
        <w:t xml:space="preserve"> </w:t>
      </w:r>
      <w:r>
        <w:rPr>
          <w:rStyle w:val="VerbatimChar"/>
        </w:rPr>
        <w:t xml:space="preserve">config</w:t>
      </w:r>
      <w:r>
        <w:t xml:space="preserve">;</w:t>
      </w:r>
    </w:p>
    <w:p>
      <w:pPr>
        <w:pStyle w:val="Compact"/>
        <w:numPr>
          <w:ilvl w:val="0"/>
          <w:numId w:val="1006"/>
        </w:numPr>
      </w:pPr>
      <w:r>
        <w:t xml:space="preserve">зависимости от внешних сервисов, если они используются в заявленном варианте поставки.</w:t>
      </w:r>
    </w:p>
    <w:p>
      <w:pPr>
        <w:pStyle w:val="FirstParagraph"/>
      </w:pPr>
      <w:r>
        <w:t xml:space="preserve">Для поставки в виде дистрибутива дополнительно указываются сценарии подготовки окружения, установки, проверки работоспособности, резервного копирования, восстановления, удаления и очистки данных.</w:t>
      </w:r>
    </w:p>
    <w:bookmarkEnd w:id="27"/>
    <w:bookmarkStart w:id="29" w:name="матрица-доступа"/>
    <w:p>
      <w:pPr>
        <w:pStyle w:val="Heading2"/>
      </w:pPr>
      <w:r>
        <w:t xml:space="preserve">8. Матрица доступа</w:t>
      </w:r>
    </w:p>
    <w:p>
      <w:pPr>
        <w:pStyle w:val="FirstParagraph"/>
      </w:pPr>
      <w:r>
        <w:t xml:space="preserve">Матрица доступа должна перечислять информационные ресурсы и разрешенные операции. В ИРБИС 128 права на объекты и модули описываются через подсистему безопасности; основные понятия приведены в разделе</w:t>
      </w:r>
      <w:r>
        <w:t xml:space="preserve"> </w:t>
      </w:r>
      <w:hyperlink r:id="rId28">
        <w:r>
          <w:rPr>
            <w:rStyle w:val="Hyperlink"/>
          </w:rPr>
          <w:t xml:space="preserve">Управление правами доступа</w:t>
        </w:r>
      </w:hyperlink>
      <w:r>
        <w:t xml:space="preserve">.</w:t>
      </w:r>
    </w:p>
    <w:p>
      <w:pPr>
        <w:pStyle w:val="BodyText"/>
      </w:pPr>
      <w:r>
        <w:t xml:space="preserve">Для подачи в ГосТех матрица должна содержать:</w:t>
      </w:r>
    </w:p>
    <w:p>
      <w:pPr>
        <w:pStyle w:val="Compact"/>
        <w:numPr>
          <w:ilvl w:val="0"/>
          <w:numId w:val="1007"/>
        </w:numPr>
      </w:pPr>
      <w:r>
        <w:t xml:space="preserve">роли или группы пользователей;</w:t>
      </w:r>
    </w:p>
    <w:p>
      <w:pPr>
        <w:pStyle w:val="Compact"/>
        <w:numPr>
          <w:ilvl w:val="0"/>
          <w:numId w:val="1007"/>
        </w:numPr>
      </w:pPr>
      <w:r>
        <w:t xml:space="preserve">ресурсы: модули, страницы, БД, записи, файлы, полнотекстовые документы и административные операции;</w:t>
      </w:r>
    </w:p>
    <w:p>
      <w:pPr>
        <w:pStyle w:val="Compact"/>
        <w:numPr>
          <w:ilvl w:val="0"/>
          <w:numId w:val="1007"/>
        </w:numPr>
      </w:pPr>
      <w:r>
        <w:t xml:space="preserve">операции: просмотр, создание, изменение, удаление, управление правами, экспорт, печать, скачивание и специальные действия модуля;</w:t>
      </w:r>
    </w:p>
    <w:p>
      <w:pPr>
        <w:pStyle w:val="Compact"/>
        <w:numPr>
          <w:ilvl w:val="0"/>
          <w:numId w:val="1007"/>
        </w:numPr>
      </w:pPr>
      <w:r>
        <w:t xml:space="preserve">способ назначения прав и источник учетных данных;</w:t>
      </w:r>
    </w:p>
    <w:p>
      <w:pPr>
        <w:pStyle w:val="Compact"/>
        <w:numPr>
          <w:ilvl w:val="0"/>
          <w:numId w:val="1007"/>
        </w:numPr>
      </w:pPr>
      <w:r>
        <w:t xml:space="preserve">ограничения по IP, LDAP-группам, ролям сайта или другим субъектам безопасности, если они используются.</w:t>
      </w:r>
    </w:p>
    <w:p>
      <w:pPr>
        <w:pStyle w:val="FirstParagraph"/>
      </w:pPr>
      <w:r>
        <w:t xml:space="preserve">Если сервис подключается к IAM, ЕСИА, LDAP, Kerberos, SAML 2.0 или OpenID Connect, в матрице нужно указать соответствие внешних ролей ролям ИРБИС 128.</w:t>
      </w:r>
    </w:p>
    <w:bookmarkEnd w:id="29"/>
    <w:bookmarkStart w:id="30" w:name="мониторинг-и-аудит"/>
    <w:p>
      <w:pPr>
        <w:pStyle w:val="Heading2"/>
      </w:pPr>
      <w:r>
        <w:t xml:space="preserve">9. Мониторинг и аудит</w:t>
      </w:r>
    </w:p>
    <w:p>
      <w:pPr>
        <w:pStyle w:val="FirstParagraph"/>
      </w:pPr>
      <w:r>
        <w:t xml:space="preserve">Для мониторинга в комплекте фиксируются бизнес-метрики и технические метрики:</w:t>
      </w:r>
    </w:p>
    <w:p>
      <w:pPr>
        <w:pStyle w:val="Compact"/>
        <w:numPr>
          <w:ilvl w:val="0"/>
          <w:numId w:val="1008"/>
        </w:numPr>
      </w:pPr>
      <w:r>
        <w:t xml:space="preserve">использование CPU, RAM, диска и сети;</w:t>
      </w:r>
    </w:p>
    <w:p>
      <w:pPr>
        <w:pStyle w:val="Compact"/>
        <w:numPr>
          <w:ilvl w:val="0"/>
          <w:numId w:val="1008"/>
        </w:numPr>
      </w:pPr>
      <w:r>
        <w:t xml:space="preserve">время исполнения входящих запросов;</w:t>
      </w:r>
    </w:p>
    <w:p>
      <w:pPr>
        <w:pStyle w:val="Compact"/>
        <w:numPr>
          <w:ilvl w:val="0"/>
          <w:numId w:val="1008"/>
        </w:numPr>
      </w:pPr>
      <w:r>
        <w:t xml:space="preserve">количество успешных и неуспешных входящих запросов;</w:t>
      </w:r>
    </w:p>
    <w:p>
      <w:pPr>
        <w:pStyle w:val="Compact"/>
        <w:numPr>
          <w:ilvl w:val="0"/>
          <w:numId w:val="1008"/>
        </w:numPr>
      </w:pPr>
      <w:r>
        <w:t xml:space="preserve">время исполнения исходящих запросов к внешним сервисам;</w:t>
      </w:r>
    </w:p>
    <w:p>
      <w:pPr>
        <w:pStyle w:val="Compact"/>
        <w:numPr>
          <w:ilvl w:val="0"/>
          <w:numId w:val="1008"/>
        </w:numPr>
      </w:pPr>
      <w:r>
        <w:t xml:space="preserve">количество успешных и неуспешных исходящих запросов;</w:t>
      </w:r>
    </w:p>
    <w:p>
      <w:pPr>
        <w:pStyle w:val="Compact"/>
        <w:numPr>
          <w:ilvl w:val="0"/>
          <w:numId w:val="1008"/>
        </w:numPr>
      </w:pPr>
      <w:r>
        <w:t xml:space="preserve">размер очередей фоновых задач и длительность критичных операций;</w:t>
      </w:r>
    </w:p>
    <w:p>
      <w:pPr>
        <w:pStyle w:val="Compact"/>
        <w:numPr>
          <w:ilvl w:val="0"/>
          <w:numId w:val="1008"/>
        </w:numPr>
      </w:pPr>
      <w:r>
        <w:t xml:space="preserve">доступность TCP/IP сервера ИРБИС 64, веб-сервера, БД и полнотекстового хранилища.</w:t>
      </w:r>
    </w:p>
    <w:p>
      <w:pPr>
        <w:pStyle w:val="FirstParagraph"/>
      </w:pPr>
      <w:r>
        <w:t xml:space="preserve">Для аудита нужно определить события, которые передаются в централизованный контур аудита:</w:t>
      </w:r>
    </w:p>
    <w:p>
      <w:pPr>
        <w:pStyle w:val="Compact"/>
        <w:numPr>
          <w:ilvl w:val="0"/>
          <w:numId w:val="1009"/>
        </w:numPr>
      </w:pPr>
      <w:r>
        <w:t xml:space="preserve">вход, выход и ошибки аутентификации;</w:t>
      </w:r>
    </w:p>
    <w:p>
      <w:pPr>
        <w:pStyle w:val="Compact"/>
        <w:numPr>
          <w:ilvl w:val="0"/>
          <w:numId w:val="1009"/>
        </w:numPr>
      </w:pPr>
      <w:r>
        <w:t xml:space="preserve">изменение учетных данных, ролей и прав доступа;</w:t>
      </w:r>
    </w:p>
    <w:p>
      <w:pPr>
        <w:pStyle w:val="Compact"/>
        <w:numPr>
          <w:ilvl w:val="0"/>
          <w:numId w:val="1009"/>
        </w:numPr>
      </w:pPr>
      <w:r>
        <w:t xml:space="preserve">создание, изменение и удаление записей;</w:t>
      </w:r>
    </w:p>
    <w:p>
      <w:pPr>
        <w:pStyle w:val="Compact"/>
        <w:numPr>
          <w:ilvl w:val="0"/>
          <w:numId w:val="1009"/>
        </w:numPr>
      </w:pPr>
      <w:r>
        <w:t xml:space="preserve">выдача, возврат, продление и операции с заказами;</w:t>
      </w:r>
    </w:p>
    <w:p>
      <w:pPr>
        <w:pStyle w:val="Compact"/>
        <w:numPr>
          <w:ilvl w:val="0"/>
          <w:numId w:val="1009"/>
        </w:numPr>
      </w:pPr>
      <w:r>
        <w:t xml:space="preserve">административные операции с БД, модулями, настройками и фоновыми задачами;</w:t>
      </w:r>
    </w:p>
    <w:p>
      <w:pPr>
        <w:pStyle w:val="Compact"/>
        <w:numPr>
          <w:ilvl w:val="0"/>
          <w:numId w:val="1009"/>
        </w:numPr>
      </w:pPr>
      <w:r>
        <w:t xml:space="preserve">экспорт, печать, скачивание и доступ к полнотекстовым документам.</w:t>
      </w:r>
    </w:p>
    <w:p>
      <w:pPr>
        <w:pStyle w:val="FirstParagraph"/>
      </w:pPr>
      <w:r>
        <w:t xml:space="preserve">Формат журналов и способ передачи событий зависят от контура внедрения. Для передачи в ГосТех нужно согласовать обязательные поля события, уровень логирования, идентификатор сервиса, версию, экземпляр сервиса и идентификатор трассировки, если он используется.</w:t>
      </w:r>
    </w:p>
    <w:bookmarkEnd w:id="30"/>
    <w:bookmarkStart w:id="33" w:name="эксплуатация-и-восстановление"/>
    <w:p>
      <w:pPr>
        <w:pStyle w:val="Heading2"/>
      </w:pPr>
      <w:r>
        <w:t xml:space="preserve">10. Эксплуатация и восстановление</w:t>
      </w:r>
    </w:p>
    <w:p>
      <w:pPr>
        <w:pStyle w:val="FirstParagraph"/>
      </w:pPr>
      <w:r>
        <w:t xml:space="preserve">Эксплуатационный регламент должен описывать:</w:t>
      </w:r>
    </w:p>
    <w:p>
      <w:pPr>
        <w:pStyle w:val="Compact"/>
        <w:numPr>
          <w:ilvl w:val="0"/>
          <w:numId w:val="1010"/>
        </w:numPr>
      </w:pPr>
      <w:r>
        <w:t xml:space="preserve">порядок обновления сервиса;</w:t>
      </w:r>
    </w:p>
    <w:p>
      <w:pPr>
        <w:pStyle w:val="Compact"/>
        <w:numPr>
          <w:ilvl w:val="0"/>
          <w:numId w:val="1010"/>
        </w:numPr>
      </w:pPr>
      <w:r>
        <w:t xml:space="preserve">порядок резервного копирования БД и файлов;</w:t>
      </w:r>
    </w:p>
    <w:p>
      <w:pPr>
        <w:pStyle w:val="Compact"/>
        <w:numPr>
          <w:ilvl w:val="0"/>
          <w:numId w:val="1010"/>
        </w:numPr>
      </w:pPr>
      <w:r>
        <w:t xml:space="preserve">порядок восстановления после сбоя - см.</w:t>
      </w:r>
      <w:r>
        <w:t xml:space="preserve"> </w:t>
      </w:r>
      <w:hyperlink r:id="rId31">
        <w:r>
          <w:rPr>
            <w:rStyle w:val="Hyperlink"/>
          </w:rPr>
          <w:t xml:space="preserve">Рекомендации по восстановлению БД в случае ее разрушения</w:t>
        </w:r>
      </w:hyperlink>
      <w:r>
        <w:t xml:space="preserve">;</w:t>
      </w:r>
    </w:p>
    <w:p>
      <w:pPr>
        <w:pStyle w:val="Compact"/>
        <w:numPr>
          <w:ilvl w:val="0"/>
          <w:numId w:val="1010"/>
        </w:numPr>
      </w:pPr>
      <w:r>
        <w:t xml:space="preserve">создание страховочных копий файлов документов - см.</w:t>
      </w:r>
      <w:r>
        <w:t xml:space="preserve"> </w:t>
      </w:r>
      <w:hyperlink r:id="rId32">
        <w:r>
          <w:rPr>
            <w:rStyle w:val="Hyperlink"/>
          </w:rPr>
          <w:t xml:space="preserve">Режим КОПИРОВАТЬ ФАЙЛ ДОКУМЕНТОВ</w:t>
        </w:r>
      </w:hyperlink>
      <w:r>
        <w:t xml:space="preserve">;</w:t>
      </w:r>
    </w:p>
    <w:p>
      <w:pPr>
        <w:pStyle w:val="Compact"/>
        <w:numPr>
          <w:ilvl w:val="0"/>
          <w:numId w:val="1010"/>
        </w:numPr>
      </w:pPr>
      <w:r>
        <w:t xml:space="preserve">проверку работоспособности после обновления или восстановления;</w:t>
      </w:r>
    </w:p>
    <w:p>
      <w:pPr>
        <w:pStyle w:val="Compact"/>
        <w:numPr>
          <w:ilvl w:val="0"/>
          <w:numId w:val="1010"/>
        </w:numPr>
      </w:pPr>
      <w:r>
        <w:t xml:space="preserve">ответственных за инфраструктуру, приложение, БД, интеграции и поддержку пользователей.</w:t>
      </w:r>
    </w:p>
    <w:p>
      <w:pPr>
        <w:pStyle w:val="FirstParagraph"/>
      </w:pPr>
      <w:r>
        <w:t xml:space="preserve">Регламент должен отделять действия оператора инфраструктуры от действий администратора ИРБИС 128 и библиотечного администратора.</w:t>
      </w:r>
    </w:p>
    <w:bookmarkEnd w:id="33"/>
    <w:bookmarkStart w:id="34" w:name="приемочные-испытания"/>
    <w:p>
      <w:pPr>
        <w:pStyle w:val="Heading2"/>
      </w:pPr>
      <w:r>
        <w:t xml:space="preserve">11. Приемочные испытания</w:t>
      </w:r>
    </w:p>
    <w:p>
      <w:pPr>
        <w:pStyle w:val="FirstParagraph"/>
      </w:pPr>
      <w:r>
        <w:t xml:space="preserve">ПМИ должен подтверждать функции, заявленные в описании сервиса. Минимальный набор проверок формируется по выбранному функциональному контуру и обычно включает:</w:t>
      </w:r>
    </w:p>
    <w:p>
      <w:pPr>
        <w:pStyle w:val="Compact"/>
        <w:numPr>
          <w:ilvl w:val="0"/>
          <w:numId w:val="1011"/>
        </w:numPr>
      </w:pPr>
      <w:r>
        <w:t xml:space="preserve">поиск и просмотр записи;</w:t>
      </w:r>
    </w:p>
    <w:p>
      <w:pPr>
        <w:pStyle w:val="Compact"/>
        <w:numPr>
          <w:ilvl w:val="0"/>
          <w:numId w:val="1011"/>
        </w:numPr>
      </w:pPr>
      <w:r>
        <w:t xml:space="preserve">авторизацию пользователя;</w:t>
      </w:r>
    </w:p>
    <w:p>
      <w:pPr>
        <w:pStyle w:val="Compact"/>
        <w:numPr>
          <w:ilvl w:val="0"/>
          <w:numId w:val="1011"/>
        </w:numPr>
      </w:pPr>
      <w:r>
        <w:t xml:space="preserve">заказ издания;</w:t>
      </w:r>
    </w:p>
    <w:p>
      <w:pPr>
        <w:pStyle w:val="Compact"/>
        <w:numPr>
          <w:ilvl w:val="0"/>
          <w:numId w:val="1011"/>
        </w:numPr>
      </w:pPr>
      <w:r>
        <w:t xml:space="preserve">работу личного кабинета;</w:t>
      </w:r>
    </w:p>
    <w:p>
      <w:pPr>
        <w:pStyle w:val="Compact"/>
        <w:numPr>
          <w:ilvl w:val="0"/>
          <w:numId w:val="1011"/>
        </w:numPr>
      </w:pPr>
      <w:r>
        <w:t xml:space="preserve">создание или редактирование записи в АРМ Каталогизатор;</w:t>
      </w:r>
    </w:p>
    <w:p>
      <w:pPr>
        <w:pStyle w:val="Compact"/>
        <w:numPr>
          <w:ilvl w:val="0"/>
          <w:numId w:val="1011"/>
        </w:numPr>
      </w:pPr>
      <w:r>
        <w:t xml:space="preserve">выдачу, возврат или продление в АРМ Книговыдача, если модуль входит в поставку;</w:t>
      </w:r>
    </w:p>
    <w:p>
      <w:pPr>
        <w:pStyle w:val="Compact"/>
        <w:numPr>
          <w:ilvl w:val="0"/>
          <w:numId w:val="1011"/>
        </w:numPr>
      </w:pPr>
      <w:r>
        <w:t xml:space="preserve">работу административных настроек, ролей и прав;</w:t>
      </w:r>
    </w:p>
    <w:p>
      <w:pPr>
        <w:pStyle w:val="Compact"/>
        <w:numPr>
          <w:ilvl w:val="0"/>
          <w:numId w:val="1011"/>
        </w:numPr>
      </w:pPr>
      <w:r>
        <w:t xml:space="preserve">вызов заявленного API;</w:t>
      </w:r>
    </w:p>
    <w:p>
      <w:pPr>
        <w:pStyle w:val="Compact"/>
        <w:numPr>
          <w:ilvl w:val="0"/>
          <w:numId w:val="1011"/>
        </w:numPr>
      </w:pPr>
      <w:r>
        <w:t xml:space="preserve">восстановление работоспособности после типового сбоя или восстановление из резервной копии, если это входит в регламент приемки.</w:t>
      </w:r>
    </w:p>
    <w:p>
      <w:pPr>
        <w:pStyle w:val="FirstParagraph"/>
      </w:pPr>
      <w:r>
        <w:t xml:space="preserve">Для каждого теста нужно указать исходные данные, действия, ожидаемый результат и критерий приемки. Тестовые данные должны быть достаточны для повторного выполнения проверки без доступа к рабочим персональным данным.</w:t>
      </w:r>
    </w:p>
    <w:bookmarkEnd w:id="34"/>
    <w:bookmarkEnd w:id="3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8" Target="?id=Help/Show&amp;m=API/Help/JsonRPC/Root" TargetMode="External" /><Relationship Type="http://schemas.openxmlformats.org/officeDocument/2006/relationships/hyperlink" Id="rId28" Target="?id=Help/Show&amp;m=Admin/Help/AccessRights" TargetMode="External" /><Relationship Type="http://schemas.openxmlformats.org/officeDocument/2006/relationships/hyperlink" Id="rId19" Target="?id=Help/Show&amp;m=DP_i128/Help/Root" TargetMode="External" /><Relationship Type="http://schemas.openxmlformats.org/officeDocument/2006/relationships/hyperlink" Id="rId32" Target="?id=Help/Show&amp;m=Help/Help/Admin64Server/MenuServicesCopy" TargetMode="External" /><Relationship Type="http://schemas.openxmlformats.org/officeDocument/2006/relationships/hyperlink" Id="rId31" Target="?id=Help/Show&amp;m=Help/Help/Admin64Server/MstRecovery" TargetMode="External" /><Relationship Type="http://schemas.openxmlformats.org/officeDocument/2006/relationships/hyperlink" Id="rId10" Target="?id=Help/Show&amp;m=Help/Help/GeneralDescription" TargetMode="External" /><Relationship Type="http://schemas.openxmlformats.org/officeDocument/2006/relationships/hyperlink" Id="rId14" Target="?id=Help/Show&amp;m=Help/Help/GeneralDescription/Architecture" TargetMode="External" /><Relationship Type="http://schemas.openxmlformats.org/officeDocument/2006/relationships/hyperlink" Id="rId11" Target="?id=Help/Show&amp;m=Help/Help/GeneralDescription/MainFeatures" TargetMode="External" /><Relationship Type="http://schemas.openxmlformats.org/officeDocument/2006/relationships/hyperlink" Id="rId15" Target="?id=Help/Show&amp;m=Help/Help/InformationSupport" TargetMode="External" /><Relationship Type="http://schemas.openxmlformats.org/officeDocument/2006/relationships/hyperlink" Id="rId16" Target="?id=Help/Show&amp;m=Help/Help/Modules128" TargetMode="External" /><Relationship Type="http://schemas.openxmlformats.org/officeDocument/2006/relationships/hyperlink" Id="rId24" Target="?id=Help/Show&amp;m=Help/Help/Server128/Setup" TargetMode="External" /><Relationship Type="http://schemas.openxmlformats.org/officeDocument/2006/relationships/hyperlink" Id="rId26" Target="?id=Help/Show&amp;m=Help/Help/Server128/Setup/Config" TargetMode="External" /><Relationship Type="http://schemas.openxmlformats.org/officeDocument/2006/relationships/hyperlink" Id="rId25" Target="?id=Help/Show&amp;m=Help/Help/Server128/Setup/Setup64" TargetMode="External" /><Relationship Type="http://schemas.openxmlformats.org/officeDocument/2006/relationships/hyperlink" Id="rId13" Target="?id=Help/Show&amp;m=Help/Help/SystemComposition" TargetMode="External" /><Relationship Type="http://schemas.openxmlformats.org/officeDocument/2006/relationships/hyperlink" Id="rId22" Target="?id=Help/Show&amp;m=Help/Help/SystemRequirement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8" Target="?id=Help/Show&amp;m=API/Help/JsonRPC/Root" TargetMode="External" /><Relationship Type="http://schemas.openxmlformats.org/officeDocument/2006/relationships/hyperlink" Id="rId28" Target="?id=Help/Show&amp;m=Admin/Help/AccessRights" TargetMode="External" /><Relationship Type="http://schemas.openxmlformats.org/officeDocument/2006/relationships/hyperlink" Id="rId19" Target="?id=Help/Show&amp;m=DP_i128/Help/Root" TargetMode="External" /><Relationship Type="http://schemas.openxmlformats.org/officeDocument/2006/relationships/hyperlink" Id="rId32" Target="?id=Help/Show&amp;m=Help/Help/Admin64Server/MenuServicesCopy" TargetMode="External" /><Relationship Type="http://schemas.openxmlformats.org/officeDocument/2006/relationships/hyperlink" Id="rId31" Target="?id=Help/Show&amp;m=Help/Help/Admin64Server/MstRecovery" TargetMode="External" /><Relationship Type="http://schemas.openxmlformats.org/officeDocument/2006/relationships/hyperlink" Id="rId10" Target="?id=Help/Show&amp;m=Help/Help/GeneralDescription" TargetMode="External" /><Relationship Type="http://schemas.openxmlformats.org/officeDocument/2006/relationships/hyperlink" Id="rId14" Target="?id=Help/Show&amp;m=Help/Help/GeneralDescription/Architecture" TargetMode="External" /><Relationship Type="http://schemas.openxmlformats.org/officeDocument/2006/relationships/hyperlink" Id="rId11" Target="?id=Help/Show&amp;m=Help/Help/GeneralDescription/MainFeatures" TargetMode="External" /><Relationship Type="http://schemas.openxmlformats.org/officeDocument/2006/relationships/hyperlink" Id="rId15" Target="?id=Help/Show&amp;m=Help/Help/InformationSupport" TargetMode="External" /><Relationship Type="http://schemas.openxmlformats.org/officeDocument/2006/relationships/hyperlink" Id="rId16" Target="?id=Help/Show&amp;m=Help/Help/Modules128" TargetMode="External" /><Relationship Type="http://schemas.openxmlformats.org/officeDocument/2006/relationships/hyperlink" Id="rId24" Target="?id=Help/Show&amp;m=Help/Help/Server128/Setup" TargetMode="External" /><Relationship Type="http://schemas.openxmlformats.org/officeDocument/2006/relationships/hyperlink" Id="rId26" Target="?id=Help/Show&amp;m=Help/Help/Server128/Setup/Config" TargetMode="External" /><Relationship Type="http://schemas.openxmlformats.org/officeDocument/2006/relationships/hyperlink" Id="rId25" Target="?id=Help/Show&amp;m=Help/Help/Server128/Setup/Setup64" TargetMode="External" /><Relationship Type="http://schemas.openxmlformats.org/officeDocument/2006/relationships/hyperlink" Id="rId13" Target="?id=Help/Show&amp;m=Help/Help/SystemComposition" TargetMode="External" /><Relationship Type="http://schemas.openxmlformats.org/officeDocument/2006/relationships/hyperlink" Id="rId22" Target="?id=Help/Show&amp;m=Help/Help/SystemRequirement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Комплект документов для ГосТех</dc:title>
  <dc:creator/>
  <cp:keywords/>
  <dcterms:created xsi:type="dcterms:W3CDTF">2026-09-04T14:17:54Z</dcterms:created>
  <dcterms:modified xsi:type="dcterms:W3CDTF">2026-09-04T14:17:54Z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