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Подсистема безопасности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подсистема-безопасности"/>
    <w:p>
      <w:pPr>
        <w:pStyle w:val="Heading1"/>
      </w:pPr>
      <w:r>
        <w:t xml:space="preserve">Подсистема безопасности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Security</w:t>
      </w:r>
      <w:r>
        <w:t xml:space="preserve"> </w:t>
      </w:r>
      <w:r>
        <w:t xml:space="preserve">управляет SID, владельцами объектов, наследованием прав, ролями пользователя и проверкой доступа к действиям над объектами.</w:t>
      </w:r>
    </w:p>
    <w:bookmarkStart w:id="9" w:name="назначение-security"/>
    <w:p>
      <w:pPr>
        <w:pStyle w:val="Heading2"/>
      </w:pPr>
      <w:r>
        <w:t xml:space="preserve">Назначение Security</w:t>
      </w:r>
    </w:p>
    <w:p>
      <w:pPr>
        <w:pStyle w:val="FirstParagraph"/>
      </w:pPr>
      <w:r>
        <w:rPr>
          <w:rStyle w:val="VerbatimChar"/>
        </w:rPr>
        <w:t xml:space="preserve">Security</w:t>
      </w:r>
      <w:r>
        <w:t xml:space="preserve"> </w:t>
      </w:r>
      <w:r>
        <w:t xml:space="preserve">является инфраструктурным модулем прав доступа. Он хранит служебные сведения в поле</w:t>
      </w:r>
      <w:r>
        <w:t xml:space="preserve"> </w:t>
      </w:r>
      <w:r>
        <w:rPr>
          <w:rStyle w:val="VerbatimChar"/>
        </w:rPr>
        <w:t xml:space="preserve">113</w:t>
      </w:r>
      <w:r>
        <w:t xml:space="preserve">: системный идентификатор</w:t>
      </w:r>
      <w:r>
        <w:t xml:space="preserve"> </w:t>
      </w:r>
      <w:r>
        <w:rPr>
          <w:rStyle w:val="VerbatimChar"/>
        </w:rPr>
        <w:t xml:space="preserve">SID</w:t>
      </w:r>
      <w:r>
        <w:t xml:space="preserve">, владельца объекта, связи дерева объектов, права</w:t>
      </w:r>
      <w:r>
        <w:t xml:space="preserve"> </w:t>
      </w:r>
      <w:r>
        <w:rPr>
          <w:rStyle w:val="VerbatimChar"/>
        </w:rPr>
        <w:t xml:space="preserve">SEC</w:t>
      </w:r>
      <w:r>
        <w:t xml:space="preserve"> </w:t>
      </w:r>
      <w:r>
        <w:t xml:space="preserve">и наследованные права.</w:t>
      </w:r>
    </w:p>
    <w:p>
      <w:pPr>
        <w:pStyle w:val="BodyText"/>
      </w:pPr>
      <w:r>
        <w:t xml:space="preserve">Модуль вычисляет роли текущего пользователя через типы групп</w:t>
      </w:r>
      <w:r>
        <w:t xml:space="preserve"> </w:t>
      </w:r>
      <w:r>
        <w:rPr>
          <w:rStyle w:val="VerbatimChar"/>
        </w:rPr>
        <w:t xml:space="preserve">.gtc</w:t>
      </w:r>
      <w:r>
        <w:t xml:space="preserve">, проверяет права</w:t>
      </w:r>
      <w:r>
        <w:t xml:space="preserve"> </w:t>
      </w:r>
      <w:r>
        <w:rPr>
          <w:rStyle w:val="VerbatimChar"/>
        </w:rPr>
        <w:t xml:space="preserve">VIEW</w:t>
      </w:r>
      <w:r>
        <w:t xml:space="preserve">,</w:t>
      </w:r>
      <w:r>
        <w:t xml:space="preserve"> </w:t>
      </w:r>
      <w:r>
        <w:rPr>
          <w:rStyle w:val="VerbatimChar"/>
        </w:rPr>
        <w:t xml:space="preserve">EDIT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</w:t>
      </w:r>
      <w:r>
        <w:t xml:space="preserve">,</w:t>
      </w:r>
      <w:r>
        <w:t xml:space="preserve"> </w:t>
      </w:r>
      <w:r>
        <w:rPr>
          <w:rStyle w:val="VerbatimChar"/>
        </w:rPr>
        <w:t xml:space="preserve">ADDSUB</w:t>
      </w:r>
      <w:r>
        <w:t xml:space="preserve">,</w:t>
      </w:r>
      <w:r>
        <w:t xml:space="preserve"> </w:t>
      </w:r>
      <w:r>
        <w:rPr>
          <w:rStyle w:val="VerbatimChar"/>
        </w:rPr>
        <w:t xml:space="preserve">VIEWRIGHTS</w:t>
      </w:r>
      <w:r>
        <w:t xml:space="preserve">,</w:t>
      </w:r>
      <w:r>
        <w:t xml:space="preserve"> </w:t>
      </w:r>
      <w:r>
        <w:rPr>
          <w:rStyle w:val="VerbatimChar"/>
        </w:rPr>
        <w:t xml:space="preserve">EDITRIGHTS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DELETERIGHTS</w:t>
      </w:r>
      <w:r>
        <w:t xml:space="preserve">,</w:t>
      </w:r>
      <w:r>
        <w:t xml:space="preserve"> </w:t>
      </w:r>
      <w:r>
        <w:rPr>
          <w:rStyle w:val="VerbatimChar"/>
        </w:rPr>
        <w:t xml:space="preserve">ADDRIGHTS</w:t>
      </w:r>
      <w:r>
        <w:t xml:space="preserve">, строит кнопки действий с учетом прав и поддерживает перестроение наследованных прав для подчиненных объектов.</w:t>
      </w:r>
    </w:p>
    <w:p>
      <w:pPr>
        <w:pStyle w:val="BodyText"/>
      </w:pPr>
      <w:r>
        <w:t xml:space="preserve">Типы групп подключаются из файлов</w:t>
      </w:r>
      <w:r>
        <w:t xml:space="preserve"> </w:t>
      </w:r>
      <w:r>
        <w:rPr>
          <w:rStyle w:val="VerbatimChar"/>
        </w:rPr>
        <w:t xml:space="preserve">.gtc</w:t>
      </w:r>
      <w:r>
        <w:t xml:space="preserve"> </w:t>
      </w:r>
      <w:r>
        <w:t xml:space="preserve">рядом с</w:t>
      </w:r>
      <w:r>
        <w:t xml:space="preserve"> </w:t>
      </w:r>
      <w:r>
        <w:rPr>
          <w:rStyle w:val="VerbatimChar"/>
        </w:rPr>
        <w:t xml:space="preserve">api.php</w:t>
      </w:r>
      <w:r>
        <w:t xml:space="preserve">: IP, LOGIN, GROUP, SITESPEC, LDAPGROUP и другие. Эти классы определяют, какие роли есть у текущего пользователя и как они отображаются в интерфейсе редактирования прав.</w:t>
      </w:r>
    </w:p>
    <w:bookmarkEnd w:id="9"/>
    <w:bookmarkStart w:id="14" w:name="служебное-поле-113"/>
    <w:p>
      <w:pPr>
        <w:pStyle w:val="Heading2"/>
      </w:pPr>
      <w:r>
        <w:t xml:space="preserve">Служебное поле 113</w:t>
      </w:r>
    </w:p>
    <w:p>
      <w:pPr>
        <w:pStyle w:val="FirstParagraph"/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113</w:t>
      </w:r>
      <w:r>
        <w:t xml:space="preserve"> </w:t>
      </w:r>
      <w:r>
        <w:t xml:space="preserve">используется ИРБИС 128 как служебное поле совместимости, идентификации объектов, прав доступа и некоторых доменных связей. Это не универсальное поле ИРБИС 64, которое должно автоматически появляться в каждой записи.</w:t>
      </w:r>
    </w:p>
    <w:p>
      <w:pPr>
        <w:pStyle w:val="BodyText"/>
      </w:pPr>
      <w:r>
        <w:t xml:space="preserve">Обычные операции чтения и сохранения записи через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,</w:t>
      </w:r>
      <w:r>
        <w:t xml:space="preserve"> </w:t>
      </w:r>
      <w:r>
        <w:rPr>
          <w:rStyle w:val="VerbatimChar"/>
        </w:rPr>
        <w:t xml:space="preserve">DP_Irbis64Native</w:t>
      </w:r>
      <w:r>
        <w:t xml:space="preserve"> </w:t>
      </w:r>
      <w:r>
        <w:t xml:space="preserve">и другие провайдеры не создают поле</w:t>
      </w:r>
      <w:r>
        <w:t xml:space="preserve"> </w:t>
      </w:r>
      <w:r>
        <w:rPr>
          <w:rStyle w:val="VerbatimChar"/>
        </w:rPr>
        <w:t xml:space="preserve">113</w:t>
      </w:r>
      <w:r>
        <w:t xml:space="preserve"> </w:t>
      </w:r>
      <w:r>
        <w:t xml:space="preserve">автоматически. Если поле уже есть в записи, оно сохраняется как часть физической записи и участвует в форматировании, индексировании и экспорте так же, как остальные поля.</w:t>
      </w:r>
    </w:p>
    <w:bookmarkStart w:id="10" w:name="ответственность-модулей"/>
    <w:p>
      <w:pPr>
        <w:pStyle w:val="Heading3"/>
      </w:pPr>
      <w:r>
        <w:t xml:space="preserve">1. Ответственность модулей</w:t>
      </w:r>
    </w:p>
    <w:p>
      <w:pPr>
        <w:pStyle w:val="FirstParagraph"/>
      </w:pPr>
      <w:r>
        <w:rPr>
          <w:rStyle w:val="VerbatimChar"/>
        </w:rPr>
        <w:t xml:space="preserve">Security</w:t>
      </w:r>
      <w:r>
        <w:t xml:space="preserve"> </w:t>
      </w:r>
      <w:r>
        <w:t xml:space="preserve">является владельцем модели прав и служебных повторов</w:t>
      </w:r>
      <w:r>
        <w:t xml:space="preserve"> </w:t>
      </w:r>
      <w:r>
        <w:rPr>
          <w:rStyle w:val="VerbatimChar"/>
        </w:rPr>
        <w:t xml:space="preserve">113</w:t>
      </w:r>
      <w:r>
        <w:t xml:space="preserve">, которые описывают доступ к записи: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Повтор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^ASID</w:t>
            </w:r>
          </w:p>
        </w:tc>
        <w:tc>
          <w:tcPr/>
          <w:p>
            <w:pPr>
              <w:pStyle w:val="Compact"/>
            </w:pPr>
            <w:r>
              <w:t xml:space="preserve">Системный идентификатор записи, владелец и флаг наследования прав.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^ASEC</w:t>
            </w:r>
          </w:p>
        </w:tc>
        <w:tc>
          <w:tcPr/>
          <w:p>
            <w:pPr>
              <w:pStyle w:val="Compact"/>
            </w:pPr>
            <w:r>
              <w:t xml:space="preserve">Право доступа для группы, пользователя, IP, сайта или другой группы безопасности.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^ALINK</w:t>
            </w:r>
          </w:p>
        </w:tc>
        <w:tc>
          <w:tcPr/>
          <w:p>
            <w:pPr>
              <w:pStyle w:val="Compact"/>
            </w:pPr>
            <w:r>
              <w:t xml:space="preserve">Служебная связь записи с другим объектом по SID.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^AAUTH</w:t>
            </w:r>
          </w:p>
        </w:tc>
        <w:tc>
          <w:tcPr/>
          <w:p>
            <w:pPr>
              <w:pStyle w:val="Compact"/>
            </w:pPr>
            <w:r>
              <w:t xml:space="preserve">Данные авторизации пользователя, если конфигурация авторизации использует поле</w:t>
            </w:r>
            <w:r>
              <w:t xml:space="preserve"> </w:t>
            </w:r>
            <w:r>
              <w:rPr>
                <w:rStyle w:val="VerbatimChar"/>
              </w:rPr>
              <w:t xml:space="preserve">113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^AROLES</w:t>
            </w:r>
          </w:p>
        </w:tc>
        <w:tc>
          <w:tcPr/>
          <w:p>
            <w:pPr>
              <w:pStyle w:val="Compact"/>
            </w:pPr>
            <w:r>
              <w:t xml:space="preserve">Роли пользователя.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^AMVIDS</w:t>
            </w:r>
          </w:p>
        </w:tc>
        <w:tc>
          <w:tcPr/>
          <w:p>
            <w:pPr>
              <w:pStyle w:val="Compact"/>
            </w:pPr>
            <w:r>
              <w:t xml:space="preserve">Разрешенные места выдачи пользователя для интерфейсов WIrbis/Bookland.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^ASIDTHREAD</w:t>
            </w:r>
          </w:p>
        </w:tc>
        <w:tc>
          <w:tcPr/>
          <w:p>
            <w:pPr>
              <w:pStyle w:val="Compact"/>
            </w:pPr>
            <w:r>
              <w:t xml:space="preserve">Служебная цепочка подчиненных объектов.</w:t>
            </w:r>
          </w:p>
        </w:tc>
      </w:tr>
    </w:tbl>
    <w:p>
      <w:pPr>
        <w:pStyle w:val="BodyText"/>
      </w:pPr>
      <w:r>
        <w:t xml:space="preserve">Доменные модули могут иметь собственные совместимые повторы. Например,</w:t>
      </w:r>
      <w:r>
        <w:t xml:space="preserve"> </w:t>
      </w:r>
      <w:r>
        <w:rPr>
          <w:rStyle w:val="VerbatimChar"/>
        </w:rPr>
        <w:t xml:space="preserve">FT</w:t>
      </w:r>
      <w:r>
        <w:t xml:space="preserve"> </w:t>
      </w:r>
      <w:r>
        <w:t xml:space="preserve">использует</w:t>
      </w:r>
      <w:r>
        <w:t xml:space="preserve"> </w:t>
      </w:r>
      <w:r>
        <w:rPr>
          <w:rStyle w:val="VerbatimChar"/>
        </w:rPr>
        <w:t xml:space="preserve">113^AFT</w:t>
      </w:r>
      <w:r>
        <w:t xml:space="preserve"> </w:t>
      </w:r>
      <w:r>
        <w:t xml:space="preserve">для связи библиографической записи с полнотекстовым объектом. Такой повтор создается кодом модуля</w:t>
      </w:r>
      <w:r>
        <w:t xml:space="preserve"> </w:t>
      </w:r>
      <w:r>
        <w:rPr>
          <w:rStyle w:val="VerbatimChar"/>
        </w:rPr>
        <w:t xml:space="preserve">FT</w:t>
      </w:r>
      <w:r>
        <w:t xml:space="preserve">, а не общим слоем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.</w:t>
      </w:r>
    </w:p>
    <w:bookmarkEnd w:id="10"/>
    <w:bookmarkStart w:id="11" w:name="явная-материализация"/>
    <w:p>
      <w:pPr>
        <w:pStyle w:val="Heading3"/>
      </w:pPr>
      <w:r>
        <w:t xml:space="preserve">2. Явная материализация</w:t>
      </w:r>
    </w:p>
    <w:p>
      <w:pPr>
        <w:pStyle w:val="FirstParagraph"/>
      </w:pPr>
      <w:r>
        <w:t xml:space="preserve">Создавать или изменять служебные повторы</w:t>
      </w:r>
      <w:r>
        <w:t xml:space="preserve"> </w:t>
      </w:r>
      <w:r>
        <w:rPr>
          <w:rStyle w:val="VerbatimChar"/>
        </w:rPr>
        <w:t xml:space="preserve">113</w:t>
      </w:r>
      <w:r>
        <w:t xml:space="preserve"> </w:t>
      </w:r>
      <w:r>
        <w:t xml:space="preserve">нужно только явным вызовом API соответствующего модуля: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Операция</w:t>
            </w:r>
          </w:p>
        </w:tc>
        <w:tc>
          <w:tcPr/>
          <w:p>
            <w:pPr>
              <w:pStyle w:val="Compact"/>
            </w:pPr>
            <w:r>
              <w:t xml:space="preserve">API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Создать физический 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Security::EnsurePhysicalSid()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Добавить права по умолчанию управляемого объекта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Security::EnsureDefaultRights()</w:t>
            </w:r>
          </w:p>
        </w:tc>
      </w:tr>
      <w:tr>
        <w:tc>
          <w:tcPr/>
          <w:p>
            <w:pPr>
              <w:pStyle w:val="Compact"/>
            </w:pPr>
            <w:r>
              <w:t xml:space="preserve">Выполнить совместимую legacy-материализацию прав и 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Security::MaterializeRecordSecurity()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Добавить или обновить право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Security::MaterializeRight()</w:t>
            </w:r>
          </w:p>
        </w:tc>
      </w:tr>
      <w:tr>
        <w:tc>
          <w:tcPr/>
          <w:p>
            <w:pPr>
              <w:pStyle w:val="Compact"/>
            </w:pPr>
            <w:r>
              <w:t xml:space="preserve">Удалить локальное право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Security::DeleteLocalRights()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Сделать унаследованное право локальным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Security::MakeRightsLocal()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Изменить наследование прав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Security::SetRightsParenting()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Изменить владельца 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Security::SetOwnerSid()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Создать или удалить</w:t>
            </w:r>
            <w:r>
              <w:t xml:space="preserve"> </w:t>
            </w:r>
            <w:r>
              <w:rPr>
                <w:rStyle w:val="VerbatimChar"/>
              </w:rPr>
              <w:t xml:space="preserve">LINK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Security::MaterializeLink()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Security::DeleteLink()</w:t>
            </w:r>
          </w:p>
        </w:tc>
      </w:tr>
      <w:tr>
        <w:tc>
          <w:tcPr/>
          <w:p>
            <w:pPr>
              <w:pStyle w:val="Compact"/>
            </w:pPr>
            <w:r>
              <w:t xml:space="preserve">Записать данные авторизации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Security::MaterializeAuth()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Security::MaterializeAuthField()</w:t>
            </w:r>
          </w:p>
        </w:tc>
      </w:tr>
      <w:tr>
        <w:tc>
          <w:tcPr/>
          <w:p>
            <w:pPr>
              <w:pStyle w:val="Compact"/>
            </w:pPr>
            <w:r>
              <w:t xml:space="preserve">Записать роли пользователя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Security::SetRoles()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Security::EnsureRole()</w:t>
            </w:r>
          </w:p>
        </w:tc>
      </w:tr>
      <w:tr>
        <w:tc>
          <w:tcPr/>
          <w:p>
            <w:pPr>
              <w:pStyle w:val="Compact"/>
            </w:pPr>
            <w:r>
              <w:t xml:space="preserve">Записать места выдачи пользователя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Security::SetMvids()</w:t>
            </w:r>
          </w:p>
        </w:tc>
      </w:tr>
    </w:tbl>
    <w:p>
      <w:pPr>
        <w:pStyle w:val="BodyText"/>
      </w:pPr>
      <w:r>
        <w:t xml:space="preserve">Код, который только читает или сохраняет запись, не должен вызывать эти методы без явного пользовательского или доменного действия. Низкоуровневый</w:t>
      </w:r>
      <w:r>
        <w:t xml:space="preserve"> </w:t>
      </w:r>
      <w:r>
        <w:rPr>
          <w:rStyle w:val="VerbatimChar"/>
        </w:rPr>
        <w:t xml:space="preserve">Record::SetSid()</w:t>
      </w:r>
      <w:r>
        <w:t xml:space="preserve"> </w:t>
      </w:r>
      <w:r>
        <w:t xml:space="preserve">остается внутренним механизмом физической записи</w:t>
      </w:r>
      <w:r>
        <w:t xml:space="preserve"> </w:t>
      </w:r>
      <w:r>
        <w:rPr>
          <w:rStyle w:val="VerbatimChar"/>
        </w:rPr>
        <w:t xml:space="preserve">113^A=SID</w:t>
      </w:r>
      <w:r>
        <w:t xml:space="preserve">, но прикладные модули должны обращаться к нему через</w:t>
      </w:r>
      <w:r>
        <w:t xml:space="preserve"> </w:t>
      </w:r>
      <w:r>
        <w:rPr>
          <w:rStyle w:val="VerbatimChar"/>
        </w:rPr>
        <w:t xml:space="preserve">Security::EnsurePhysicalSid()</w:t>
      </w:r>
      <w:r>
        <w:t xml:space="preserve">. Legacy-обертки</w:t>
      </w:r>
      <w:r>
        <w:t xml:space="preserve"> </w:t>
      </w:r>
      <w:r>
        <w:rPr>
          <w:rStyle w:val="VerbatimChar"/>
        </w:rPr>
        <w:t xml:space="preserve">Record::EnsureSid()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Record::SidSave()</w:t>
      </w:r>
      <w:r>
        <w:t xml:space="preserve"> </w:t>
      </w:r>
      <w:r>
        <w:t xml:space="preserve">допускаются только как совместимость: материализация SID в них проходит через</w:t>
      </w:r>
      <w:r>
        <w:t xml:space="preserve"> </w:t>
      </w:r>
      <w:r>
        <w:rPr>
          <w:rStyle w:val="VerbatimChar"/>
        </w:rPr>
        <w:t xml:space="preserve">Security</w:t>
      </w:r>
      <w:r>
        <w:t xml:space="preserve">.</w:t>
      </w:r>
    </w:p>
    <w:p>
      <w:pPr>
        <w:pStyle w:val="BodyText"/>
      </w:pPr>
      <w:r>
        <w:t xml:space="preserve">Форматы, списки записей, деревья, preview-панели и другие операции отображения не должны создавать SID и не должны сохранять запись только ради появления поля</w:t>
      </w:r>
      <w:r>
        <w:t xml:space="preserve"> </w:t>
      </w:r>
      <w:r>
        <w:rPr>
          <w:rStyle w:val="VerbatimChar"/>
        </w:rPr>
        <w:t xml:space="preserve">113</w:t>
      </w:r>
      <w:r>
        <w:t xml:space="preserve">. Если для кеша отображения нужен устойчивый ключ, нужно использовать уже существующий SID или внешний cache-key, не изменяющий запись.</w:t>
      </w:r>
    </w:p>
    <w:p>
      <w:pPr>
        <w:pStyle w:val="BodyText"/>
      </w:pPr>
      <w:r>
        <w:t xml:space="preserve">Инвариант проверяется self-test</w:t>
      </w:r>
      <w:r>
        <w:t xml:space="preserve"> </w:t>
      </w:r>
      <w:r>
        <w:rPr>
          <w:rStyle w:val="VerbatimChar"/>
        </w:rPr>
        <w:t xml:space="preserve">tools/Record113BoundarySelfTest.php</w:t>
      </w:r>
      <w:r>
        <w:t xml:space="preserve">: обычные операции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 </w:t>
      </w:r>
      <w:r>
        <w:t xml:space="preserve">не должны материализовать</w:t>
      </w:r>
      <w:r>
        <w:t xml:space="preserve"> </w:t>
      </w:r>
      <w:r>
        <w:rPr>
          <w:rStyle w:val="VerbatimChar"/>
        </w:rPr>
        <w:t xml:space="preserve">113</w:t>
      </w:r>
      <w:r>
        <w:t xml:space="preserve">, включая повторное сохранение после конфликта версии, lookup по SID не должен вызывать низкоуровневый</w:t>
      </w:r>
      <w:r>
        <w:t xml:space="preserve"> </w:t>
      </w:r>
      <w:r>
        <w:rPr>
          <w:rStyle w:val="VerbatimChar"/>
        </w:rPr>
        <w:t xml:space="preserve">SetSid()</w:t>
      </w:r>
      <w:r>
        <w:t xml:space="preserve">, а явное создание SID и прав выполняется через</w:t>
      </w:r>
      <w:r>
        <w:t xml:space="preserve"> </w:t>
      </w:r>
      <w:r>
        <w:rPr>
          <w:rStyle w:val="VerbatimChar"/>
        </w:rPr>
        <w:t xml:space="preserve">Security</w:t>
      </w:r>
      <w:r>
        <w:t xml:space="preserve">. Тот же тест покрывает legacy helper старого WS-редактора</w:t>
      </w:r>
      <w:r>
        <w:t xml:space="preserve"> </w:t>
      </w:r>
      <w:r>
        <w:rPr>
          <w:rStyle w:val="VerbatimChar"/>
        </w:rPr>
        <w:t xml:space="preserve">WS/JS/GetRLList</w:t>
      </w:r>
      <w:r>
        <w:t xml:space="preserve">: если helper должен передать SID в URL и Ajax-параметры, он сначала явно вызывает</w:t>
      </w:r>
      <w:r>
        <w:t xml:space="preserve"> </w:t>
      </w:r>
      <w:r>
        <w:rPr>
          <w:rStyle w:val="VerbatimChar"/>
        </w:rPr>
        <w:t xml:space="preserve">Security::EnsurePhysicalSid()</w:t>
      </w:r>
      <w:r>
        <w:t xml:space="preserve">, а затем использует уже материализованный SID.</w:t>
      </w:r>
    </w:p>
    <w:bookmarkEnd w:id="11"/>
    <w:bookmarkStart w:id="12" w:name="совместимость-с-ирбис-64-и-irbistool"/>
    <w:p>
      <w:pPr>
        <w:pStyle w:val="Heading3"/>
      </w:pPr>
      <w:r>
        <w:t xml:space="preserve">3. Совместимость с ИРБИС 64 и irbistool</w:t>
      </w:r>
    </w:p>
    <w:p>
      <w:pPr>
        <w:pStyle w:val="FirstParagraph"/>
      </w:pPr>
      <w:r>
        <w:t xml:space="preserve">Если запись уже содержит поле</w:t>
      </w:r>
      <w:r>
        <w:t xml:space="preserve"> </w:t>
      </w:r>
      <w:r>
        <w:rPr>
          <w:rStyle w:val="VerbatimChar"/>
        </w:rPr>
        <w:t xml:space="preserve">113</w:t>
      </w:r>
      <w:r>
        <w:t xml:space="preserve">, ИРБИС 128 должен сохранить его без потерь. Это важно для совместимости с существующими базами, форматами, индексированием и проверками соответствия</w:t>
      </w:r>
      <w:r>
        <w:t xml:space="preserve"> </w:t>
      </w:r>
      <w:r>
        <w:rPr>
          <w:rStyle w:val="VerbatimChar"/>
        </w:rPr>
        <w:t xml:space="preserve">irbistool</w:t>
      </w:r>
      <w:r>
        <w:t xml:space="preserve">.</w:t>
      </w:r>
    </w:p>
    <w:p>
      <w:pPr>
        <w:pStyle w:val="BodyText"/>
      </w:pPr>
      <w:r>
        <w:t xml:space="preserve">Провайдеры данных отвечают за физическое чтение и запись полей. Они не принимают решение о том, что записи нужен SID, право, роль или связь. Такое решение принимает</w:t>
      </w:r>
      <w:r>
        <w:t xml:space="preserve"> </w:t>
      </w:r>
      <w:r>
        <w:rPr>
          <w:rStyle w:val="VerbatimChar"/>
        </w:rPr>
        <w:t xml:space="preserve">Security</w:t>
      </w:r>
      <w:r>
        <w:t xml:space="preserve"> </w:t>
      </w:r>
      <w:r>
        <w:t xml:space="preserve">или доменный модуль, который выполняет конкретную пользовательскую операцию.</w:t>
      </w:r>
    </w:p>
    <w:bookmarkEnd w:id="12"/>
    <w:bookmarkStart w:id="13" w:name="исключения"/>
    <w:p>
      <w:pPr>
        <w:pStyle w:val="Heading3"/>
      </w:pPr>
      <w:r>
        <w:t xml:space="preserve">4. Исключения</w:t>
      </w:r>
    </w:p>
    <w:p>
      <w:pPr>
        <w:pStyle w:val="FirstParagraph"/>
      </w:pPr>
      <w:r>
        <w:t xml:space="preserve">Операции миграции и слияния записей могут переносить уже существующее физическое поле</w:t>
      </w:r>
      <w:r>
        <w:t xml:space="preserve"> </w:t>
      </w:r>
      <w:r>
        <w:rPr>
          <w:rStyle w:val="VerbatimChar"/>
        </w:rPr>
        <w:t xml:space="preserve">113</w:t>
      </w:r>
      <w:r>
        <w:t xml:space="preserve"> </w:t>
      </w:r>
      <w:r>
        <w:t xml:space="preserve">из одной записи в другую. Это не считается автоматической генерацией. Такие операции должны сохранять структуру поля как данные источника и не добавлять новые служебные повторы без явной цели миграции.</w:t>
      </w:r>
    </w:p>
    <w:p>
      <w:pPr>
        <w:pStyle w:val="BodyText"/>
      </w:pPr>
      <w:r>
        <w:t xml:space="preserve">Очистка старых некорректных повторов, например пустых</w:t>
      </w:r>
      <w:r>
        <w:t xml:space="preserve"> </w:t>
      </w:r>
      <w:r>
        <w:rPr>
          <w:rStyle w:val="VerbatimChar"/>
        </w:rPr>
        <w:t xml:space="preserve">LINK</w:t>
      </w:r>
      <w:r>
        <w:t xml:space="preserve">, допускается как миграционная или доменная нормализация данных. Она должна быть локализована в соответствующем модуле и не должна превращаться в общее правило сохранения записи.</w:t>
      </w:r>
    </w:p>
    <w:bookmarkEnd w:id="13"/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Подсистема безопасности</dc:title>
  <dc:creator/>
  <cp:keywords/>
  <dcterms:created xsi:type="dcterms:W3CDTF">2026-09-07T12:51:14Z</dcterms:created>
  <dcterms:modified xsi:type="dcterms:W3CDTF">2026-09-07T12:51:14Z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